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目 录 </w:t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rPr>
          <w:rFonts w:ascii="黑体" w:hAnsi="宋体" w:eastAsia="黑体"/>
          <w:b w:val="0"/>
          <w:bCs w:val="0"/>
          <w:caps w:val="0"/>
          <w:sz w:val="24"/>
          <w:szCs w:val="24"/>
        </w:rPr>
        <w:fldChar w:fldCharType="begin"/>
      </w:r>
      <w:r>
        <w:rPr>
          <w:rFonts w:ascii="黑体" w:hAnsi="宋体" w:eastAsia="黑体"/>
          <w:b w:val="0"/>
          <w:bCs w:val="0"/>
          <w:caps w:val="0"/>
          <w:sz w:val="24"/>
          <w:szCs w:val="24"/>
        </w:rPr>
        <w:instrText xml:space="preserve"> TOC \o "1-2" \u </w:instrText>
      </w:r>
      <w:r>
        <w:rPr>
          <w:rFonts w:ascii="黑体" w:hAnsi="宋体" w:eastAsia="黑体"/>
          <w:b w:val="0"/>
          <w:bCs w:val="0"/>
          <w:caps w:val="0"/>
          <w:sz w:val="24"/>
          <w:szCs w:val="24"/>
        </w:rPr>
        <w:fldChar w:fldCharType="separate"/>
      </w:r>
      <w:r>
        <w:t xml:space="preserve">1 </w:t>
      </w:r>
      <w:r>
        <w:rPr>
          <w:rFonts w:hint="eastAsia"/>
        </w:rPr>
        <w:t>前言</w:t>
      </w:r>
      <w:r>
        <w:tab/>
      </w:r>
      <w:r>
        <w:fldChar w:fldCharType="begin"/>
      </w:r>
      <w:r>
        <w:instrText xml:space="preserve"> PAGEREF _Toc1776 </w:instrText>
      </w:r>
      <w:r>
        <w:fldChar w:fldCharType="separate"/>
      </w:r>
      <w:r>
        <w:t>1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t xml:space="preserve">2 </w:t>
      </w:r>
      <w:r>
        <w:rPr>
          <w:rFonts w:hint="eastAsia"/>
        </w:rPr>
        <w:t>依据文件</w:t>
      </w:r>
      <w:r>
        <w:tab/>
      </w:r>
      <w:r>
        <w:fldChar w:fldCharType="begin"/>
      </w:r>
      <w:r>
        <w:instrText xml:space="preserve"> PAGEREF _Toc21736 </w:instrText>
      </w:r>
      <w:r>
        <w:fldChar w:fldCharType="separate"/>
      </w:r>
      <w:r>
        <w:t>1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t xml:space="preserve">3 </w:t>
      </w:r>
      <w:r>
        <w:rPr>
          <w:rFonts w:hint="eastAsia"/>
        </w:rPr>
        <w:t>测试目的</w:t>
      </w:r>
      <w:r>
        <w:tab/>
      </w:r>
      <w:r>
        <w:fldChar w:fldCharType="begin"/>
      </w:r>
      <w:r>
        <w:instrText xml:space="preserve"> PAGEREF _Toc7090 </w:instrText>
      </w:r>
      <w:r>
        <w:fldChar w:fldCharType="separate"/>
      </w:r>
      <w:r>
        <w:t>1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t xml:space="preserve">4 </w:t>
      </w:r>
      <w:r>
        <w:rPr>
          <w:rFonts w:hint="eastAsia"/>
        </w:rPr>
        <w:t>岗位设置</w:t>
      </w:r>
      <w:r>
        <w:tab/>
      </w:r>
      <w:r>
        <w:fldChar w:fldCharType="begin"/>
      </w:r>
      <w:r>
        <w:instrText xml:space="preserve"> PAGEREF _Toc32048 </w:instrText>
      </w:r>
      <w:r>
        <w:fldChar w:fldCharType="separate"/>
      </w:r>
      <w:r>
        <w:t>1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t xml:space="preserve">5 </w:t>
      </w:r>
      <w:r>
        <w:rPr>
          <w:rFonts w:hint="eastAsia"/>
        </w:rPr>
        <w:t>协同口令</w:t>
      </w:r>
      <w:r>
        <w:tab/>
      </w:r>
      <w:r>
        <w:fldChar w:fldCharType="begin"/>
      </w:r>
      <w:r>
        <w:instrText xml:space="preserve"> PAGEREF _Toc8019 </w:instrText>
      </w:r>
      <w:r>
        <w:fldChar w:fldCharType="separate"/>
      </w:r>
      <w:r>
        <w:t>1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rPr>
          <w:rFonts w:eastAsia="黑体"/>
          <w:szCs w:val="28"/>
        </w:rPr>
        <w:t xml:space="preserve">6 </w:t>
      </w:r>
      <w:r>
        <w:rPr>
          <w:rFonts w:hint="eastAsia" w:eastAsia="黑体"/>
          <w:szCs w:val="28"/>
        </w:rPr>
        <w:t>测试阶段和技术流程</w:t>
      </w:r>
      <w:r>
        <w:tab/>
      </w:r>
      <w:r>
        <w:fldChar w:fldCharType="begin"/>
      </w:r>
      <w:r>
        <w:instrText xml:space="preserve"> PAGEREF _Toc27784 </w:instrText>
      </w:r>
      <w:r>
        <w:fldChar w:fldCharType="separate"/>
      </w:r>
      <w:r>
        <w:t>4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rPr>
          <w:rFonts w:eastAsia="黑体"/>
          <w:szCs w:val="28"/>
        </w:rPr>
        <w:t xml:space="preserve">7 </w:t>
      </w:r>
      <w:r>
        <w:rPr>
          <w:rFonts w:hint="eastAsia" w:eastAsia="黑体"/>
          <w:szCs w:val="28"/>
        </w:rPr>
        <w:t>测试项目</w:t>
      </w:r>
      <w:r>
        <w:tab/>
      </w:r>
      <w:r>
        <w:fldChar w:fldCharType="begin"/>
      </w:r>
      <w:r>
        <w:instrText xml:space="preserve"> PAGEREF _Toc5052 </w:instrText>
      </w:r>
      <w:r>
        <w:fldChar w:fldCharType="separate"/>
      </w:r>
      <w:r>
        <w:t>4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.1转运后状态测试</w:t>
      </w:r>
      <w:r>
        <w:tab/>
      </w:r>
      <w:r>
        <w:fldChar w:fldCharType="begin"/>
      </w:r>
      <w:r>
        <w:instrText xml:space="preserve"> PAGEREF _Toc13460 </w:instrText>
      </w:r>
      <w:r>
        <w:fldChar w:fldCharType="separate"/>
      </w:r>
      <w:r>
        <w:t>4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.2滑跑前状态测试</w:t>
      </w:r>
      <w:r>
        <w:tab/>
      </w:r>
      <w:r>
        <w:fldChar w:fldCharType="begin"/>
      </w:r>
      <w:r>
        <w:instrText xml:space="preserve"> PAGEREF _Toc1505 </w:instrText>
      </w:r>
      <w:r>
        <w:fldChar w:fldCharType="separate"/>
      </w:r>
      <w:r>
        <w:t>6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.3滑跑工况测试</w:t>
      </w:r>
      <w:r>
        <w:tab/>
      </w:r>
      <w:r>
        <w:fldChar w:fldCharType="begin"/>
      </w:r>
      <w:r>
        <w:instrText xml:space="preserve"> PAGEREF _Toc20720 </w:instrText>
      </w:r>
      <w:r>
        <w:fldChar w:fldCharType="separate"/>
      </w:r>
      <w:r>
        <w:t>6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.4起飞前状态测试</w:t>
      </w:r>
      <w:r>
        <w:tab/>
      </w:r>
      <w:r>
        <w:fldChar w:fldCharType="begin"/>
      </w:r>
      <w:r>
        <w:instrText xml:space="preserve"> PAGEREF _Toc25493 </w:instrText>
      </w:r>
      <w:r>
        <w:fldChar w:fldCharType="separate"/>
      </w:r>
      <w:r>
        <w:t>6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.5验证飞行工况测试</w:t>
      </w:r>
      <w:r>
        <w:tab/>
      </w:r>
      <w:r>
        <w:fldChar w:fldCharType="begin"/>
      </w:r>
      <w:r>
        <w:instrText xml:space="preserve"> PAGEREF _Toc32284 </w:instrText>
      </w:r>
      <w:r>
        <w:fldChar w:fldCharType="separate"/>
      </w:r>
      <w:r>
        <w:t>7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t xml:space="preserve">8 </w:t>
      </w:r>
      <w:r>
        <w:rPr>
          <w:rFonts w:hint="eastAsia"/>
        </w:rPr>
        <w:t>试验细则</w:t>
      </w:r>
      <w:r>
        <w:tab/>
      </w:r>
      <w:r>
        <w:fldChar w:fldCharType="begin"/>
      </w:r>
      <w:r>
        <w:instrText xml:space="preserve"> PAGEREF _Toc27985 </w:instrText>
      </w:r>
      <w:r>
        <w:fldChar w:fldCharType="separate"/>
      </w:r>
      <w:r>
        <w:t>7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t xml:space="preserve">8.1 </w:t>
      </w:r>
      <w:r>
        <w:rPr>
          <w:rFonts w:hint="eastAsia"/>
        </w:rPr>
        <w:t>飞行前准备</w:t>
      </w:r>
      <w:r>
        <w:tab/>
      </w:r>
      <w:r>
        <w:fldChar w:fldCharType="begin"/>
      </w:r>
      <w:r>
        <w:instrText xml:space="preserve"> PAGEREF _Toc200 </w:instrText>
      </w:r>
      <w:r>
        <w:fldChar w:fldCharType="separate"/>
      </w:r>
      <w:r>
        <w:t>7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t xml:space="preserve">8.2 </w:t>
      </w:r>
      <w:r>
        <w:rPr>
          <w:rFonts w:hint="eastAsia"/>
        </w:rPr>
        <w:t>飞行试验</w:t>
      </w:r>
      <w:r>
        <w:tab/>
      </w:r>
      <w:r>
        <w:fldChar w:fldCharType="begin"/>
      </w:r>
      <w:r>
        <w:instrText xml:space="preserve"> PAGEREF _Toc2769 </w:instrText>
      </w:r>
      <w:r>
        <w:fldChar w:fldCharType="separate"/>
      </w:r>
      <w:r>
        <w:t>14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rPr>
          <w:rFonts w:hint="eastAsia"/>
          <w:lang w:val="en-US" w:eastAsia="zh-CN"/>
        </w:rPr>
        <w:t>9 地面站操作</w:t>
      </w:r>
      <w:r>
        <w:tab/>
      </w:r>
      <w:r>
        <w:fldChar w:fldCharType="begin"/>
      </w:r>
      <w:r>
        <w:instrText xml:space="preserve"> PAGEREF _Toc10334 </w:instrText>
      </w:r>
      <w:r>
        <w:fldChar w:fldCharType="separate"/>
      </w:r>
      <w:r>
        <w:t>15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/>
          <w:lang w:val="en-US" w:eastAsia="zh-CN"/>
        </w:rPr>
        <w:t>9.1 转场测试</w:t>
      </w:r>
      <w:r>
        <w:tab/>
      </w:r>
      <w:r>
        <w:fldChar w:fldCharType="begin"/>
      </w:r>
      <w:r>
        <w:instrText xml:space="preserve"> PAGEREF _Toc16880 </w:instrText>
      </w:r>
      <w:r>
        <w:fldChar w:fldCharType="separate"/>
      </w:r>
      <w:r>
        <w:t>15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/>
          <w:lang w:val="en-US" w:eastAsia="zh-CN"/>
        </w:rPr>
        <w:t>9.2 飞行操作</w:t>
      </w:r>
      <w:r>
        <w:tab/>
      </w:r>
      <w:r>
        <w:fldChar w:fldCharType="begin"/>
      </w:r>
      <w:r>
        <w:instrText xml:space="preserve"> PAGEREF _Toc28414 </w:instrText>
      </w:r>
      <w:r>
        <w:fldChar w:fldCharType="separate"/>
      </w:r>
      <w:r>
        <w:t>16</w:t>
      </w:r>
      <w: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default"/>
          <w:lang w:val="en-US" w:eastAsia="zh-CN"/>
        </w:rPr>
        <w:t xml:space="preserve">9.3 </w:t>
      </w:r>
      <w:r>
        <w:rPr>
          <w:rFonts w:hint="eastAsia"/>
          <w:lang w:val="en-US" w:eastAsia="zh-CN"/>
        </w:rPr>
        <w:t>试飞结束</w:t>
      </w:r>
      <w:r>
        <w:tab/>
      </w:r>
      <w:r>
        <w:fldChar w:fldCharType="begin"/>
      </w:r>
      <w:r>
        <w:instrText xml:space="preserve"> PAGEREF _Toc18743 </w:instrText>
      </w:r>
      <w:r>
        <w:fldChar w:fldCharType="separate"/>
      </w:r>
      <w:r>
        <w:t>17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t xml:space="preserve">10 </w:t>
      </w:r>
      <w:r>
        <w:rPr>
          <w:rFonts w:hint="eastAsia"/>
        </w:rPr>
        <w:t>试验撤收</w:t>
      </w:r>
      <w:r>
        <w:tab/>
      </w:r>
      <w:r>
        <w:fldChar w:fldCharType="begin"/>
      </w:r>
      <w:r>
        <w:instrText xml:space="preserve"> PAGEREF _Toc27214 </w:instrText>
      </w:r>
      <w:r>
        <w:fldChar w:fldCharType="separate"/>
      </w:r>
      <w:r>
        <w:t>18</w:t>
      </w:r>
      <w:r>
        <w:fldChar w:fldCharType="end"/>
      </w:r>
    </w:p>
    <w:p>
      <w:pPr>
        <w:pStyle w:val="10"/>
        <w:tabs>
          <w:tab w:val="right" w:leader="dot" w:pos="8306"/>
          <w:tab w:val="clear" w:pos="420"/>
          <w:tab w:val="clear" w:pos="8296"/>
        </w:tabs>
      </w:pPr>
      <w:r>
        <w:t xml:space="preserve">11 </w:t>
      </w:r>
      <w:r>
        <w:rPr>
          <w:rFonts w:hint="eastAsia"/>
        </w:rPr>
        <w:t>结论</w:t>
      </w:r>
      <w:r>
        <w:tab/>
      </w:r>
      <w:r>
        <w:fldChar w:fldCharType="begin"/>
      </w:r>
      <w:r>
        <w:instrText xml:space="preserve"> PAGEREF _Toc15345 </w:instrText>
      </w:r>
      <w:r>
        <w:fldChar w:fldCharType="separate"/>
      </w:r>
      <w:r>
        <w:t>18</w:t>
      </w:r>
      <w:r>
        <w:fldChar w:fldCharType="end"/>
      </w:r>
    </w:p>
    <w:p>
      <w:pPr>
        <w:jc w:val="center"/>
        <w:rPr>
          <w:rFonts w:ascii="黑体" w:hAnsi="宋体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rPr>
          <w:rFonts w:ascii="黑体" w:hAnsi="宋体" w:eastAsia="黑体"/>
          <w:bCs/>
          <w:caps/>
        </w:rPr>
        <w:fldChar w:fldCharType="end"/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XXX样机</w:t>
      </w:r>
      <w:r>
        <w:rPr>
          <w:b/>
          <w:sz w:val="36"/>
          <w:szCs w:val="36"/>
        </w:rPr>
        <w:t>-T</w:t>
      </w:r>
      <w:r>
        <w:rPr>
          <w:rFonts w:hint="eastAsia"/>
          <w:b/>
          <w:sz w:val="36"/>
          <w:szCs w:val="36"/>
        </w:rPr>
        <w:t>xx</w:t>
      </w:r>
      <w:r>
        <w:rPr>
          <w:b/>
          <w:sz w:val="36"/>
          <w:szCs w:val="36"/>
        </w:rPr>
        <w:t>次试验</w:t>
      </w:r>
      <w:r>
        <w:rPr>
          <w:rFonts w:hint="eastAsia"/>
          <w:b/>
          <w:sz w:val="36"/>
          <w:szCs w:val="36"/>
        </w:rPr>
        <w:t>综合</w:t>
      </w:r>
      <w:r>
        <w:rPr>
          <w:b/>
          <w:sz w:val="36"/>
          <w:szCs w:val="36"/>
        </w:rPr>
        <w:t>测试</w:t>
      </w:r>
      <w:r>
        <w:rPr>
          <w:rFonts w:hint="eastAsia"/>
          <w:b/>
          <w:sz w:val="36"/>
          <w:szCs w:val="36"/>
        </w:rPr>
        <w:t>细则</w:t>
      </w:r>
    </w:p>
    <w:p>
      <w:pPr>
        <w:pStyle w:val="2"/>
      </w:pPr>
      <w:bookmarkStart w:id="0" w:name="_Toc1776"/>
      <w:r>
        <w:rPr>
          <w:rFonts w:hint="eastAsia"/>
        </w:rPr>
        <w:t>前言</w:t>
      </w:r>
      <w:bookmarkEnd w:id="0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本文给出了XXX样机综合测试各项工作的细则，适用于XXX样机起飞前各项测试工作及试飞结束后的状态恢复等工作。</w:t>
      </w:r>
    </w:p>
    <w:p>
      <w:pPr>
        <w:pStyle w:val="2"/>
      </w:pPr>
      <w:bookmarkStart w:id="1" w:name="_Toc21736"/>
      <w:r>
        <w:rPr>
          <w:rFonts w:hint="eastAsia"/>
        </w:rPr>
        <w:t>依据文件</w:t>
      </w:r>
      <w:bookmarkEnd w:id="1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1)</w:t>
      </w:r>
      <w:r>
        <w:rPr>
          <w:rFonts w:hint="eastAsia"/>
          <w:sz w:val="24"/>
        </w:rPr>
        <w:tab/>
      </w:r>
      <w:r>
        <w:rPr>
          <w:rFonts w:ascii="Calibri" w:hAnsi="Calibri" w:cs="Calibri"/>
          <w:szCs w:val="21"/>
        </w:rPr>
        <w:tab/>
      </w:r>
      <w:r>
        <w:rPr>
          <w:rFonts w:hint="eastAsia" w:ascii="Calibri" w:hAnsi="Calibri" w:cs="Calibri"/>
          <w:szCs w:val="21"/>
        </w:rPr>
        <w:t>xxxxxxx（文件编号）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XXX样机</w:t>
      </w:r>
      <w:r>
        <w:rPr>
          <w:sz w:val="24"/>
        </w:rPr>
        <w:t>-T</w:t>
      </w:r>
      <w:r>
        <w:rPr>
          <w:rFonts w:hint="eastAsia"/>
          <w:sz w:val="24"/>
        </w:rPr>
        <w:t>xx</w:t>
      </w:r>
      <w:r>
        <w:rPr>
          <w:sz w:val="24"/>
        </w:rPr>
        <w:t>次试验大纲</w:t>
      </w:r>
    </w:p>
    <w:p>
      <w:pPr>
        <w:pStyle w:val="2"/>
      </w:pPr>
      <w:bookmarkStart w:id="2" w:name="_Toc23700104"/>
      <w:bookmarkEnd w:id="2"/>
      <w:bookmarkStart w:id="3" w:name="_Toc7090"/>
      <w:r>
        <w:rPr>
          <w:rFonts w:hint="eastAsia"/>
        </w:rPr>
        <w:t>测试目的</w:t>
      </w:r>
      <w:bookmarkEnd w:id="3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（1）对XXX样机进行全面的性能检查，确认样机系统级及分系统级功能，满足开展滑跑、试飞工况要求；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（2）确认各分系统状态正常后，开展XXX样机低、中、高速滑跑工况；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（3）滑跑工况结束后，开展数据分析，确认无异常后，开展试飞工况。</w:t>
      </w:r>
    </w:p>
    <w:p>
      <w:pPr>
        <w:pStyle w:val="2"/>
      </w:pPr>
      <w:bookmarkStart w:id="4" w:name="_Toc32048"/>
      <w:r>
        <w:rPr>
          <w:rFonts w:hint="eastAsia"/>
        </w:rPr>
        <w:t>岗位设置</w:t>
      </w:r>
      <w:bookmarkEnd w:id="4"/>
    </w:p>
    <w:p>
      <w:pPr>
        <w:spacing w:line="360" w:lineRule="auto"/>
        <w:ind w:left="360" w:firstLine="480" w:firstLineChars="200"/>
        <w:rPr>
          <w:sz w:val="24"/>
        </w:rPr>
      </w:pPr>
      <w:r>
        <w:rPr>
          <w:rFonts w:hint="eastAsia"/>
          <w:sz w:val="24"/>
        </w:rPr>
        <w:t>参加本次外场试验的相关具体试验岗位及人员设置详见《关于申请XXX样机外场试验队组建及经费预算的报告》。</w:t>
      </w:r>
    </w:p>
    <w:p>
      <w:pPr>
        <w:spacing w:line="360" w:lineRule="auto"/>
        <w:ind w:left="360" w:firstLine="480" w:firstLineChars="200"/>
      </w:pPr>
      <w:r>
        <w:rPr>
          <w:rFonts w:hint="eastAsia"/>
          <w:sz w:val="24"/>
        </w:rPr>
        <w:t>【此处应明确下节中各岗位代号，如现场指挥为2201等】</w:t>
      </w:r>
    </w:p>
    <w:p>
      <w:pPr>
        <w:pStyle w:val="2"/>
      </w:pPr>
      <w:bookmarkStart w:id="5" w:name="_Toc8019"/>
      <w:r>
        <w:rPr>
          <w:rFonts w:hint="eastAsia"/>
        </w:rPr>
        <w:t>协同口令</w:t>
      </w:r>
      <w:bookmarkEnd w:id="5"/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13"/>
        <w:gridCol w:w="1312"/>
        <w:gridCol w:w="1312"/>
        <w:gridCol w:w="1312"/>
        <w:gridCol w:w="1312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5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1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2201</w:t>
            </w:r>
          </w:p>
        </w:tc>
        <w:tc>
          <w:tcPr>
            <w:tcW w:w="131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2203</w:t>
            </w:r>
          </w:p>
        </w:tc>
        <w:tc>
          <w:tcPr>
            <w:tcW w:w="131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2205</w:t>
            </w:r>
          </w:p>
        </w:tc>
        <w:tc>
          <w:tcPr>
            <w:tcW w:w="131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2208</w:t>
            </w:r>
          </w:p>
        </w:tc>
        <w:tc>
          <w:tcPr>
            <w:tcW w:w="131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……</w:t>
            </w:r>
          </w:p>
        </w:tc>
        <w:tc>
          <w:tcPr>
            <w:tcW w:w="130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313" w:type="dxa"/>
          </w:tcPr>
          <w:p>
            <w:r>
              <w:rPr>
                <w:rFonts w:hint="eastAsia"/>
              </w:rPr>
              <w:t>“各号注意，现在开始点名”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restart"/>
          </w:tcPr>
          <w:p>
            <w:r>
              <w:rPr>
                <w:rFonts w:hint="eastAsia"/>
              </w:rPr>
              <w:t>按照各岗位清点人数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依次呼点各号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2203到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2205到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2208到</w:t>
            </w:r>
          </w:p>
        </w:tc>
        <w:tc>
          <w:tcPr>
            <w:tcW w:w="1312" w:type="dxa"/>
          </w:tcPr>
          <w:p>
            <w:r>
              <w:t>……</w:t>
            </w:r>
            <w:r>
              <w:rPr>
                <w:rFonts w:hint="eastAsia"/>
              </w:rPr>
              <w:t>到</w:t>
            </w:r>
          </w:p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“收到”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313" w:type="dxa"/>
          </w:tcPr>
          <w:p>
            <w:r>
              <w:rPr>
                <w:rFonts w:hint="eastAsia"/>
              </w:rPr>
              <w:t>“各号注意，现在收集各号准备状态”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restart"/>
          </w:tcPr>
          <w:p>
            <w:r>
              <w:rPr>
                <w:rFonts w:hint="eastAsia"/>
              </w:rPr>
              <w:t>收集各号加电前状态准备情况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依次询问各号加电准备情况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/>
        </w:tc>
        <w:tc>
          <w:tcPr>
            <w:tcW w:w="1312" w:type="dxa"/>
          </w:tcPr>
          <w:p>
            <w:r>
              <w:rPr>
                <w:rFonts w:hint="eastAsia"/>
              </w:rPr>
              <w:t>2203准备好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2205准备好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2208准备好</w:t>
            </w:r>
          </w:p>
        </w:tc>
        <w:tc>
          <w:tcPr>
            <w:tcW w:w="1312" w:type="dxa"/>
          </w:tcPr>
          <w:p>
            <w:r>
              <w:t>……</w:t>
            </w:r>
            <w:r>
              <w:rPr>
                <w:rFonts w:hint="eastAsia"/>
              </w:rPr>
              <w:t>准备好</w:t>
            </w:r>
          </w:p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313" w:type="dxa"/>
          </w:tcPr>
          <w:p>
            <w:r>
              <w:rPr>
                <w:rFonts w:hint="eastAsia"/>
              </w:rPr>
              <w:t>“明白，各号注意，整机准备加电”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restart"/>
          </w:tcPr>
          <w:p>
            <w:r>
              <w:rPr>
                <w:rFonts w:hint="eastAsia"/>
              </w:rPr>
              <w:t>整机加电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“2208，准备打开飞机供电开关”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>
            <w:r>
              <w:rPr>
                <w:rFonts w:hint="eastAsia"/>
              </w:rPr>
              <w:t>“2208报告，供电开关已打开”</w:t>
            </w:r>
          </w:p>
        </w:tc>
        <w:tc>
          <w:tcPr>
            <w:tcW w:w="1312" w:type="dxa"/>
          </w:tcPr>
          <w:p/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“明白，各号注意，整机已上电”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313" w:type="dxa"/>
          </w:tcPr>
          <w:p>
            <w:r>
              <w:rPr>
                <w:rFonts w:hint="eastAsia"/>
              </w:rPr>
              <w:t>“各号注意，现在准备进行XX检查”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restart"/>
          </w:tcPr>
          <w:p>
            <w:r>
              <w:rPr>
                <w:rFonts w:hint="eastAsia"/>
              </w:rPr>
              <w:t>开始进行某项检查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>
            <w:r>
              <w:rPr>
                <w:rFonts w:hint="eastAsia"/>
              </w:rPr>
              <w:t>“</w:t>
            </w:r>
            <w:r>
              <w:t>……</w:t>
            </w:r>
            <w:r>
              <w:rPr>
                <w:rFonts w:hint="eastAsia"/>
              </w:rPr>
              <w:t>明白”</w:t>
            </w:r>
          </w:p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>
            <w:r>
              <w:rPr>
                <w:rFonts w:hint="eastAsia"/>
              </w:rPr>
              <w:t>“</w:t>
            </w:r>
            <w:r>
              <w:t>……</w:t>
            </w:r>
            <w:r>
              <w:rPr>
                <w:rFonts w:hint="eastAsia"/>
              </w:rPr>
              <w:t>报告，XX检查结果正常”</w:t>
            </w:r>
          </w:p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“明白”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313" w:type="dxa"/>
          </w:tcPr>
          <w:p>
            <w:r>
              <w:rPr>
                <w:rFonts w:hint="eastAsia"/>
              </w:rPr>
              <w:t>“各号注意，整机准备断电，现在收集各号断电前状态”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restart"/>
          </w:tcPr>
          <w:p>
            <w:r>
              <w:rPr>
                <w:rFonts w:hint="eastAsia"/>
              </w:rPr>
              <w:t>收集各号断电前状态。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依次呼点各号，收集各号状态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“2203正常”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“2205正常”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“2208正常”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“</w:t>
            </w:r>
            <w:r>
              <w:t>……</w:t>
            </w:r>
            <w:r>
              <w:rPr>
                <w:rFonts w:hint="eastAsia"/>
              </w:rPr>
              <w:t>.正常”</w:t>
            </w:r>
          </w:p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“明白”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313" w:type="dxa"/>
          </w:tcPr>
          <w:p>
            <w:r>
              <w:rPr>
                <w:rFonts w:hint="eastAsia"/>
              </w:rPr>
              <w:t>“各号注意，今天测试工作结束，请各号关闭地面设备”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/>
        </w:tc>
        <w:tc>
          <w:tcPr>
            <w:tcW w:w="1313" w:type="dxa"/>
          </w:tcPr>
          <w:p/>
        </w:tc>
        <w:tc>
          <w:tcPr>
            <w:tcW w:w="1312" w:type="dxa"/>
          </w:tcPr>
          <w:p>
            <w:r>
              <w:rPr>
                <w:rFonts w:hint="eastAsia"/>
              </w:rPr>
              <w:t>“2203正常”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“2205正常”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“2208正常”</w:t>
            </w:r>
          </w:p>
        </w:tc>
        <w:tc>
          <w:tcPr>
            <w:tcW w:w="1312" w:type="dxa"/>
          </w:tcPr>
          <w:p>
            <w:r>
              <w:rPr>
                <w:rFonts w:hint="eastAsia"/>
              </w:rPr>
              <w:t>“</w:t>
            </w:r>
            <w:r>
              <w:t>……</w:t>
            </w:r>
            <w:r>
              <w:rPr>
                <w:rFonts w:hint="eastAsia"/>
              </w:rPr>
              <w:t>.正常”</w:t>
            </w:r>
          </w:p>
        </w:tc>
        <w:tc>
          <w:tcPr>
            <w:tcW w:w="13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313" w:type="dxa"/>
          </w:tcPr>
          <w:p/>
        </w:tc>
        <w:tc>
          <w:tcPr>
            <w:tcW w:w="1312" w:type="dxa"/>
          </w:tcPr>
          <w:p>
            <w:r>
              <w:rPr>
                <w:rFonts w:hint="eastAsia"/>
              </w:rPr>
              <w:t>“2203申请进行舵面测试”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/>
        </w:tc>
        <w:tc>
          <w:tcPr>
            <w:tcW w:w="1313" w:type="dxa"/>
          </w:tcPr>
          <w:p>
            <w:r>
              <w:rPr>
                <w:rFonts w:hint="eastAsia"/>
              </w:rPr>
              <w:t>“2201明白，请执行舵面测试”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/>
        </w:tc>
        <w:tc>
          <w:tcPr>
            <w:tcW w:w="1313" w:type="dxa"/>
          </w:tcPr>
          <w:p/>
        </w:tc>
        <w:tc>
          <w:tcPr>
            <w:tcW w:w="1312" w:type="dxa"/>
          </w:tcPr>
          <w:p>
            <w:r>
              <w:rPr>
                <w:rFonts w:hint="eastAsia"/>
              </w:rPr>
              <w:t>“2203明白”</w:t>
            </w:r>
          </w:p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12" w:type="dxa"/>
          </w:tcPr>
          <w:p/>
        </w:tc>
        <w:tc>
          <w:tcPr>
            <w:tcW w:w="1306" w:type="dxa"/>
          </w:tcPr>
          <w:p/>
        </w:tc>
      </w:tr>
    </w:tbl>
    <w:p>
      <w:p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/>
    <w:p>
      <w:pPr>
        <w:pStyle w:val="2"/>
        <w:spacing w:before="0" w:after="0"/>
        <w:ind w:left="432" w:hanging="432"/>
        <w:rPr>
          <w:rFonts w:eastAsia="黑体"/>
          <w:szCs w:val="28"/>
        </w:rPr>
      </w:pPr>
      <w:bookmarkStart w:id="6" w:name="_Toc27784"/>
      <w:r>
        <w:rPr>
          <w:rFonts w:hint="eastAsia" w:eastAsia="黑体"/>
          <w:szCs w:val="28"/>
        </w:rPr>
        <w:t>测试阶段和技术流程</w:t>
      </w:r>
      <w:bookmarkEnd w:id="6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XXX样机T06次外场试验分为转运后状态测试、滑跑前状态测试、滑跑工况测试、起飞前状态测试、验证飞行工况测试等五个阶段。其中，转运后状态测试包括供电检查、各分系统状态检查、系统间接口匹配检查；滑跑前状态测试包括滑跑参数设定、各分系统输出参数检查；滑跑工况测试包括滑跑动态测试、测试后数据判读；起飞前状态检查包括整机设备及电缆总装检查、设备状态检查、分系统输出参数检查、滑跑数据判读结果分析；验证飞行工况测试包括飞行动态测试、测试后数据判读。整体技术流程如下图1所示。</w:t>
      </w:r>
    </w:p>
    <w:p>
      <w:pPr>
        <w:spacing w:line="360" w:lineRule="auto"/>
        <w:jc w:val="center"/>
      </w:pPr>
      <w:r>
        <w:object>
          <v:shape id="_x0000_i1025" o:spt="75" type="#_x0000_t75" style="height:145.35pt;width:4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>
      <w:pPr>
        <w:spacing w:line="360" w:lineRule="auto"/>
        <w:jc w:val="center"/>
        <w:rPr>
          <w:sz w:val="24"/>
        </w:rPr>
      </w:pPr>
      <w:r>
        <w:rPr>
          <w:szCs w:val="21"/>
        </w:rPr>
        <w:t>图</w:t>
      </w:r>
      <w:r>
        <w:rPr>
          <w:rFonts w:hint="eastAsia"/>
          <w:szCs w:val="21"/>
        </w:rPr>
        <w:t xml:space="preserve">6-1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XXX样机T06次外场试验</w:t>
      </w:r>
      <w:r>
        <w:rPr>
          <w:szCs w:val="21"/>
        </w:rPr>
        <w:t>技术流程</w:t>
      </w:r>
      <w:r>
        <w:rPr>
          <w:rFonts w:hint="eastAsia"/>
          <w:szCs w:val="21"/>
        </w:rPr>
        <w:t>图</w:t>
      </w:r>
    </w:p>
    <w:p>
      <w:pPr>
        <w:pStyle w:val="2"/>
        <w:spacing w:before="0" w:after="0"/>
        <w:ind w:left="432" w:hanging="432"/>
        <w:rPr>
          <w:rFonts w:eastAsia="黑体"/>
          <w:szCs w:val="28"/>
        </w:rPr>
      </w:pPr>
      <w:bookmarkStart w:id="7" w:name="_Toc5052"/>
      <w:r>
        <w:rPr>
          <w:rFonts w:hint="eastAsia" w:eastAsia="黑体"/>
          <w:szCs w:val="28"/>
        </w:rPr>
        <w:t>测试项目</w:t>
      </w:r>
      <w:bookmarkEnd w:id="7"/>
    </w:p>
    <w:p>
      <w:pPr>
        <w:pStyle w:val="3"/>
        <w:numPr>
          <w:ilvl w:val="1"/>
          <w:numId w:val="0"/>
        </w:numPr>
        <w:spacing w:before="0" w:after="0"/>
        <w:ind w:left="576" w:hanging="576"/>
        <w:rPr>
          <w:rFonts w:ascii="Times New Roman" w:hAnsi="Times New Roman"/>
          <w:sz w:val="24"/>
        </w:rPr>
      </w:pPr>
      <w:bookmarkStart w:id="8" w:name="_Toc13460"/>
      <w:bookmarkStart w:id="9" w:name="_Toc23541096"/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.1转运后状态测试</w:t>
      </w:r>
      <w:bookmarkEnd w:id="8"/>
      <w:bookmarkEnd w:id="9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在整机总装工作完成后，对整机进行全面测试验证。</w:t>
      </w:r>
    </w:p>
    <w:p>
      <w:pPr>
        <w:pStyle w:val="4"/>
        <w:numPr>
          <w:ilvl w:val="2"/>
          <w:numId w:val="0"/>
        </w:numPr>
        <w:spacing w:before="0" w:after="0"/>
        <w:ind w:left="720" w:hanging="720"/>
        <w:rPr>
          <w:sz w:val="24"/>
        </w:rPr>
      </w:pPr>
      <w:bookmarkStart w:id="10" w:name="_Toc23541097"/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.1.1供电检查</w:t>
      </w:r>
      <w:bookmarkEnd w:id="10"/>
    </w:p>
    <w:p>
      <w:pPr>
        <w:pStyle w:val="5"/>
        <w:numPr>
          <w:ilvl w:val="3"/>
          <w:numId w:val="0"/>
        </w:numPr>
        <w:spacing w:before="0" w:after="0"/>
        <w:ind w:left="988" w:hanging="988" w:hangingChars="41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7</w:t>
      </w:r>
      <w:r>
        <w:rPr>
          <w:rFonts w:hint="eastAsia" w:ascii="Times New Roman" w:hAnsi="Times New Roman" w:eastAsia="宋体"/>
          <w:sz w:val="24"/>
        </w:rPr>
        <w:t>.1.1.1能源与信息供电检查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检查电池为各用电设备供电情况。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检查电源开关供电通断控制功能。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检查外部供电及内外电切换功能。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检查数据链通信数据格式正确性。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检查数据链无线链路通信正确性。</w:t>
      </w:r>
    </w:p>
    <w:p>
      <w:pPr>
        <w:pStyle w:val="5"/>
        <w:numPr>
          <w:ilvl w:val="3"/>
          <w:numId w:val="0"/>
        </w:numPr>
        <w:spacing w:before="0" w:after="0"/>
        <w:ind w:left="988" w:hanging="988" w:hangingChars="41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7</w:t>
      </w:r>
      <w:r>
        <w:rPr>
          <w:rFonts w:hint="eastAsia" w:ascii="Times New Roman" w:hAnsi="Times New Roman" w:eastAsia="宋体"/>
          <w:sz w:val="24"/>
        </w:rPr>
        <w:t>.1.1.2飞行控制供电检查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检查飞控计算机与复合型空速计之间通信数据格式正确性。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</w:p>
    <w:p>
      <w:pPr>
        <w:pStyle w:val="4"/>
        <w:numPr>
          <w:ilvl w:val="2"/>
          <w:numId w:val="0"/>
        </w:numPr>
        <w:spacing w:before="0" w:after="0"/>
        <w:ind w:left="720" w:hanging="720"/>
        <w:rPr>
          <w:sz w:val="24"/>
        </w:rPr>
      </w:pPr>
      <w:bookmarkStart w:id="11" w:name="_Toc23541098"/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.1.2功能测试</w:t>
      </w:r>
      <w:bookmarkEnd w:id="11"/>
    </w:p>
    <w:p>
      <w:pPr>
        <w:pStyle w:val="5"/>
        <w:numPr>
          <w:ilvl w:val="3"/>
          <w:numId w:val="0"/>
        </w:numPr>
        <w:spacing w:before="0" w:after="0"/>
        <w:ind w:left="988" w:hanging="988" w:hangingChars="41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7</w:t>
      </w:r>
      <w:r>
        <w:rPr>
          <w:rFonts w:hint="eastAsia" w:ascii="Times New Roman" w:hAnsi="Times New Roman" w:eastAsia="宋体"/>
          <w:sz w:val="24"/>
        </w:rPr>
        <w:t>.1.2.1飞行控制功能测试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测试飞控计算机传感器信息采集处理、执行机构操作、数据通信功能。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测试飞控计算机接收执行上行遥控指令功能。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测试飞控计算机接收下行遥测指令功能。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通过检测器观察飞控计算机状态，传感器状态输入，控制指令输出，飞行控制参数等。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测试飞控计算机接收处理上行注入数据（场高装订、上传航路点、参数调节）功能。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测试复合型空速管测量极性（采用风机）。</w:t>
      </w:r>
    </w:p>
    <w:p>
      <w:pPr>
        <w:pStyle w:val="5"/>
        <w:numPr>
          <w:ilvl w:val="3"/>
          <w:numId w:val="0"/>
        </w:numPr>
        <w:spacing w:before="0" w:after="0"/>
        <w:ind w:left="988" w:hanging="988" w:hangingChars="41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7</w:t>
      </w:r>
      <w:r>
        <w:rPr>
          <w:rFonts w:hint="eastAsia" w:ascii="Times New Roman" w:hAnsi="Times New Roman" w:eastAsia="宋体"/>
          <w:sz w:val="24"/>
        </w:rPr>
        <w:t>.1.2.2能源与信息功能测试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测试数据链上下行无线链路通信功能。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测试数据链天线切换功能。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测试上行遥控、数据注入功能。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测试下行遥测功能。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测试高速数据下行传输功能。</w:t>
      </w:r>
    </w:p>
    <w:p>
      <w:pPr>
        <w:pStyle w:val="3"/>
        <w:numPr>
          <w:ilvl w:val="1"/>
          <w:numId w:val="0"/>
        </w:numPr>
        <w:spacing w:before="0" w:after="0"/>
        <w:ind w:left="576" w:hanging="576"/>
        <w:rPr>
          <w:rFonts w:ascii="Times New Roman" w:hAnsi="Times New Roman"/>
          <w:sz w:val="24"/>
        </w:rPr>
      </w:pPr>
      <w:bookmarkStart w:id="12" w:name="_Toc23541100"/>
      <w:bookmarkStart w:id="13" w:name="_Toc1505"/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.2滑跑前状态测试</w:t>
      </w:r>
      <w:bookmarkEnd w:id="12"/>
      <w:bookmarkEnd w:id="13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在整机总装工作完成后，对整机进行全面测试验证，确保整机状态具备出厂条件。</w:t>
      </w:r>
    </w:p>
    <w:p>
      <w:pPr>
        <w:pStyle w:val="4"/>
        <w:numPr>
          <w:ilvl w:val="2"/>
          <w:numId w:val="0"/>
        </w:numPr>
        <w:spacing w:before="0" w:after="0"/>
        <w:ind w:left="720" w:hanging="720"/>
        <w:rPr>
          <w:sz w:val="24"/>
        </w:rPr>
      </w:pPr>
      <w:bookmarkStart w:id="14" w:name="_Toc23541101"/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.2.1参数设定及分系统参数检查</w:t>
      </w:r>
      <w:bookmarkEnd w:id="14"/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飞控参数设定；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回收与着陆参数设定（刹车、转向舵机）；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上电后，各分系统参数状态判读；</w:t>
      </w:r>
    </w:p>
    <w:p>
      <w:pPr>
        <w:pStyle w:val="3"/>
        <w:numPr>
          <w:ilvl w:val="1"/>
          <w:numId w:val="0"/>
        </w:numPr>
        <w:spacing w:before="0" w:after="0"/>
        <w:ind w:left="576" w:hanging="576"/>
        <w:rPr>
          <w:rFonts w:ascii="Times New Roman" w:hAnsi="Times New Roman"/>
          <w:sz w:val="24"/>
        </w:rPr>
      </w:pPr>
      <w:bookmarkStart w:id="15" w:name="_Toc20720"/>
      <w:bookmarkStart w:id="16" w:name="_Toc23541103"/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.3滑跑工况测试</w:t>
      </w:r>
      <w:bookmarkEnd w:id="15"/>
      <w:bookmarkEnd w:id="16"/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飞控参数设定；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加电后各分系统状态判读；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开展滑跑工况（速度分别为XXXXXXXm/s）</w:t>
      </w:r>
    </w:p>
    <w:p>
      <w:pPr>
        <w:pStyle w:val="3"/>
        <w:numPr>
          <w:ilvl w:val="1"/>
          <w:numId w:val="0"/>
        </w:numPr>
        <w:spacing w:before="0" w:after="0"/>
        <w:ind w:left="576" w:hanging="576"/>
        <w:rPr>
          <w:rFonts w:ascii="Times New Roman" w:hAnsi="Times New Roman"/>
          <w:sz w:val="24"/>
        </w:rPr>
      </w:pPr>
      <w:bookmarkStart w:id="17" w:name="_Toc25493"/>
      <w:bookmarkStart w:id="18" w:name="_Toc23541104"/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.4起飞前状态测试</w:t>
      </w:r>
      <w:bookmarkEnd w:id="17"/>
      <w:bookmarkEnd w:id="18"/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滑跑数据判读；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总装检查，确认机上设备、电缆、起落架等安装到位；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加电后各分系统状态判读；</w:t>
      </w:r>
    </w:p>
    <w:p>
      <w:pPr>
        <w:pStyle w:val="3"/>
        <w:numPr>
          <w:ilvl w:val="1"/>
          <w:numId w:val="0"/>
        </w:numPr>
        <w:spacing w:before="0" w:after="0"/>
        <w:ind w:left="576" w:hanging="576"/>
        <w:rPr>
          <w:rFonts w:ascii="Times New Roman" w:hAnsi="Times New Roman"/>
          <w:sz w:val="24"/>
        </w:rPr>
      </w:pPr>
      <w:bookmarkStart w:id="19" w:name="_Toc23541105"/>
      <w:bookmarkStart w:id="20" w:name="_Toc32284"/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.5验证飞行工况测试</w:t>
      </w:r>
      <w:bookmarkEnd w:id="19"/>
      <w:bookmarkEnd w:id="20"/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飞控参数设定；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加电后各分系统状态判读；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开展验证飞行工况（起落架保持放下、航线使用验证工况航线）。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sz w:val="24"/>
        </w:rPr>
      </w:pPr>
    </w:p>
    <w:p>
      <w:pPr>
        <w:numPr>
          <w:ilvl w:val="0"/>
          <w:numId w:val="0"/>
        </w:numPr>
        <w:spacing w:line="360" w:lineRule="auto"/>
        <w:ind w:left="480" w:left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8 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default" w:eastAsia="宋体"/>
          <w:sz w:val="24"/>
          <w:lang w:val="en-US" w:eastAsia="zh-CN"/>
        </w:rPr>
      </w:pPr>
    </w:p>
    <w:p>
      <w:pPr>
        <w:pStyle w:val="2"/>
      </w:pPr>
      <w:bookmarkStart w:id="21" w:name="_Toc27985"/>
      <w:r>
        <w:rPr>
          <w:rFonts w:hint="eastAsia"/>
        </w:rPr>
        <w:t>试验细则</w:t>
      </w:r>
      <w:bookmarkEnd w:id="21"/>
    </w:p>
    <w:p>
      <w:pPr>
        <w:pStyle w:val="3"/>
      </w:pPr>
      <w:bookmarkStart w:id="22" w:name="_Toc200"/>
      <w:r>
        <w:rPr>
          <w:rFonts w:hint="eastAsia"/>
        </w:rPr>
        <w:t>飞行前准备</w:t>
      </w:r>
      <w:bookmarkEnd w:id="22"/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进行预先检查，确保各系统工作正常，具备进行电性能测试的条件，在首次到达机场后、或者飞机在机场经过装箱转运后，建议按照8.1.3、8.1.4节进行全面的检查，在经过全面检查，确保设备均工作正常后，可按照8.1.5进行滑跑前设置，按照8.1.7进行起飞前设置后即可进行相应的滑跑及飞行试验。 </w:t>
      </w:r>
    </w:p>
    <w:p>
      <w:pPr>
        <w:pStyle w:val="4"/>
        <w:ind w:left="964" w:hanging="964" w:hangingChars="343"/>
      </w:pPr>
      <w:r>
        <w:rPr>
          <w:rFonts w:hint="eastAsia"/>
        </w:rPr>
        <w:t>加电前准备</w:t>
      </w:r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1"/>
        <w:gridCol w:w="3943"/>
        <w:gridCol w:w="2656"/>
        <w:gridCol w:w="210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试验准备</w:t>
            </w: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试验区域划分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试验帐篷搭建、桌椅摆放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地面设备展开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现场各岗位口令演练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记录大气环境情况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b/>
                <w:i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场区电磁环境扫频监视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b/>
                <w:i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★关键控制点：图传摄像头开始充电</w:t>
            </w: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样机转移至测试工位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5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3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连接发动机本体电缆</w:t>
            </w:r>
          </w:p>
        </w:tc>
        <w:tc>
          <w:tcPr>
            <w:tcW w:w="265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2206</w:t>
            </w:r>
          </w:p>
        </w:tc>
      </w:tr>
    </w:tbl>
    <w:p>
      <w:pPr>
        <w:pStyle w:val="4"/>
        <w:ind w:left="964" w:hanging="964" w:hangingChars="343"/>
        <w:rPr>
          <w:rFonts w:hint="eastAsia"/>
        </w:rPr>
      </w:pPr>
      <w:r>
        <w:rPr>
          <w:rFonts w:hint="eastAsia"/>
        </w:rPr>
        <w:t>发射筒实验操作</w:t>
      </w:r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42"/>
        <w:gridCol w:w="3941"/>
        <w:gridCol w:w="2654"/>
        <w:gridCol w:w="210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发射筒实验</w:t>
            </w: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检查发射筒的管壁，螺栓等有无损坏，松动；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发射筒按照指定要求调整射向和射角；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★关键控制点：地面坚实，筒体尾部砸地钉，支腿压重物，使用测角仪测量发射角度；</w:t>
            </w:r>
          </w:p>
        </w:tc>
        <w:tc>
          <w:tcPr>
            <w:tcW w:w="2106" w:type="dxa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检查发射电池是否满电；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★关键控制点：测量发射电池电压；</w:t>
            </w: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检查发射开关是否正常；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★关键控制点：接电按压开关，阀门发出声音；</w:t>
            </w: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检查发射活塞；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★关键控制点：发射活塞有无破损，裂痕；</w:t>
            </w: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模拟弹称重，检查是否完好；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b/>
                <w:i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★关键控制点：检查是否有螺丝松动，零件脱落，判断翼片是否可用；</w:t>
            </w: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依次装填活塞和模拟弹；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★关键控制点：注意活塞装填的正反，确认装填到位，或者听到活塞滑落到发射管底部碰撞的声音。</w:t>
            </w: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发射筒充气，达到发射压力；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★关键控制点：充气过程中实时报压力表表压，不要过充或者充气压力不足。</w:t>
            </w: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充气操作人员撤离，指挥员通知各阵位准备就绪；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★关键控制点：打开炮口测速仪，显示雷达标志。</w:t>
            </w:r>
          </w:p>
        </w:tc>
        <w:tc>
          <w:tcPr>
            <w:tcW w:w="2106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下达发射命令，按压开关，发射模拟弹；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采集炮口测速仪数据，并报告给总指挥；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★关键控制点：轻按扳机一次，显示记录数据。</w:t>
            </w:r>
          </w:p>
        </w:tc>
        <w:tc>
          <w:tcPr>
            <w:tcW w:w="2106" w:type="dxa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回收模拟弹和弹托，清洗泥污，准备再次发射。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pStyle w:val="4"/>
        <w:ind w:left="964" w:hanging="964" w:hangingChars="343"/>
      </w:pPr>
      <w:r>
        <w:rPr>
          <w:rFonts w:hint="eastAsia"/>
        </w:rPr>
        <w:t>加电前状态检查</w:t>
      </w:r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42"/>
        <w:gridCol w:w="3941"/>
        <w:gridCol w:w="2654"/>
        <w:gridCol w:w="210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8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状态检查</w:t>
            </w: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设备固定情况检查、结构机构部件检查、设备螺栓连接位置检查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检查主翼、尾翼展开机构是否正常，翼片旋转顺滑无卡顿，锁定功能可靠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电缆连接插头检查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★关键控制点：确认飞控，任务计算机，数据链，电源模块，舵机，电调，电机，数据链，光电摄像机，GPS天线等线缆插接正确可靠。</w:t>
            </w: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空速管气路连接插头检查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伞舱盖状态检查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b/>
                <w:i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★关键控制点：伞舱盖为虚掩状态。</w:t>
            </w: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取下空速管保护罩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进行空速管初始值清零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检查主电池电压是否正常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</w:rPr>
              <w:t>★关键控制点：测量并记录</w:t>
            </w:r>
          </w:p>
        </w:tc>
        <w:tc>
          <w:tcPr>
            <w:tcW w:w="2106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pStyle w:val="4"/>
        <w:ind w:left="964" w:hanging="964" w:hangingChars="343"/>
        <w:rPr>
          <w:color w:val="FF0000"/>
        </w:rPr>
      </w:pPr>
      <w:r>
        <w:rPr>
          <w:rFonts w:hint="eastAsia"/>
          <w:color w:val="FF0000"/>
        </w:rPr>
        <w:t>转运后加电检查</w:t>
      </w:r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0"/>
        <w:gridCol w:w="3946"/>
        <w:gridCol w:w="2654"/>
        <w:gridCol w:w="210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整机上电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打开主开关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主开关打开后10s内，伞舱舵机处于打开状态，10s后自动恢复至关闭状态</w:t>
            </w:r>
          </w:p>
          <w:p>
            <w:pPr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i/>
                <w:color w:val="FF0000"/>
                <w:szCs w:val="21"/>
              </w:rPr>
              <w:t>★关键控制点：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测试过程中伞舱盖处于虚掩状态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整机上电后初始状态确认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2207、2209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复合型空速计空速检查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转运后功能匹配检查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天线状态确认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数据链及图传天线为定向状态，数据链天线为全向状态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遥控器拉距测试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连续控制副翼俯仰，观察舵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面输出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发动机供电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油门装订预测试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起落架检查【根据样机情况自行设置】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允许收放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飞行模式确认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飞行模式为手控锁定状态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飞机抬头、低头姿态检查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飞机左滚、右滚姿态检查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飞机左偏、右偏姿态检查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转运后指令匹配检查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副翼俯仰指令检查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副翼滚转指令检查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V尾与前轮指令检查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遥控伞舱舵机检查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检查完成后恢复舵机至关闭状态，伞舱舱门保持虚掩状态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遥控发动机启动、关车、强制关车检查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检查完成后恢复发动机至启动状态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主份地面站应急令检查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检查完成后恢复舵机至关闭状态、恢复发动机至启动状态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飞控解锁，待刹车解除后再飞控上锁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备份地面站应急令检查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检查完成后恢复舵机至关闭状态、恢复发动机至启动状态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飞控解锁，待刹车解除后再飞控上锁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通过手柄发送应急指令检查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检查完成后恢复舵机至关闭状态、设置发动机为自动关车状态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遥控器解锁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设置发动机为关机状态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遥控器发动机油门检查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i/>
                <w:color w:val="FF0000"/>
                <w:szCs w:val="21"/>
              </w:rPr>
              <w:t>★关键控制点：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发动机油门检查时，设置为发动机为关机状态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发动机油门杆设置为最低位置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遥控器上锁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6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场高装订、毫米波使能、控制参数装订预测试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i/>
                <w:color w:val="FF0000"/>
                <w:szCs w:val="21"/>
              </w:rPr>
              <w:t>★关键控制点：1)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地面差分GPS定位后方可进行场高装订、毫米波使能，进行控制参数装订;2)场高装订时飞机位于着陆点位置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6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收集各号状态，询问各号功能检查是否正常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6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发动机断电，风扇断电、整机断电（根据需要进行）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遥控器操作权移交操作手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6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关闭遥控器（根据需要进行）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进行遥控器充电</w:t>
            </w:r>
          </w:p>
        </w:tc>
        <w:tc>
          <w:tcPr>
            <w:tcW w:w="2106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2203</w:t>
            </w:r>
          </w:p>
        </w:tc>
      </w:tr>
    </w:tbl>
    <w:p>
      <w:pPr>
        <w:pStyle w:val="4"/>
        <w:ind w:left="964" w:hanging="964" w:hangingChars="343"/>
      </w:pPr>
      <w:r>
        <w:rPr>
          <w:rFonts w:hint="eastAsia"/>
        </w:rPr>
        <w:t>发射前检查</w:t>
      </w:r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0"/>
        <w:gridCol w:w="3946"/>
        <w:gridCol w:w="2654"/>
        <w:gridCol w:w="210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充气前检查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确认地面站设置正确；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机载电池电压遥测正常；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确认样机姿态解算正确；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发射筒，样机装填到位；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确认样机滚转方向装填正确；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充气后检查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确认发射压力达到；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确认炮口测速仪打开；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确认环境风速</w:t>
            </w:r>
            <w:r>
              <w:rPr>
                <w:rFonts w:ascii="Cambria Math" w:hAnsi="Cambria Math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</w:rPr>
              <w:t>6m/s；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发射操作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发射样机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采集炮口测速仪数据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pStyle w:val="3"/>
      </w:pPr>
      <w:bookmarkStart w:id="23" w:name="_Toc2769"/>
      <w:r>
        <w:rPr>
          <w:rFonts w:hint="eastAsia"/>
        </w:rPr>
        <w:t>飞行试验</w:t>
      </w:r>
      <w:bookmarkEnd w:id="23"/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按照上述环节设置，依据XXX样机</w:t>
      </w:r>
      <w:r>
        <w:rPr>
          <w:sz w:val="24"/>
        </w:rPr>
        <w:t>-T</w:t>
      </w:r>
      <w:r>
        <w:rPr>
          <w:rFonts w:hint="eastAsia"/>
          <w:sz w:val="24"/>
        </w:rPr>
        <w:t>xx</w:t>
      </w:r>
      <w:r>
        <w:rPr>
          <w:sz w:val="24"/>
        </w:rPr>
        <w:t>次外场试验大纲</w:t>
      </w:r>
      <w:r>
        <w:rPr>
          <w:rFonts w:hint="eastAsia"/>
          <w:sz w:val="24"/>
        </w:rPr>
        <w:t>，完成所有飞行项目。</w:t>
      </w:r>
    </w:p>
    <w:p>
      <w:pPr>
        <w:pStyle w:val="4"/>
        <w:ind w:left="964" w:hanging="964" w:hangingChars="343"/>
      </w:pPr>
      <w:r>
        <w:rPr>
          <w:rFonts w:hint="eastAsia"/>
        </w:rPr>
        <w:t>样机落地后操作</w:t>
      </w:r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0"/>
        <w:gridCol w:w="3946"/>
        <w:gridCol w:w="2654"/>
        <w:gridCol w:w="210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样机回收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地面站进行XX操作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回收现场拍照录像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样机现场断电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2209</w:t>
            </w:r>
          </w:p>
        </w:tc>
      </w:tr>
    </w:tbl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ind w:firstLine="480"/>
        <w:rPr>
          <w:sz w:val="24"/>
        </w:rPr>
      </w:pPr>
    </w:p>
    <w:p>
      <w:pPr>
        <w:pStyle w:val="2"/>
        <w:rPr>
          <w:rFonts w:hint="eastAsia"/>
          <w:lang w:val="en-US" w:eastAsia="zh-CN"/>
        </w:rPr>
      </w:pPr>
      <w:bookmarkStart w:id="24" w:name="_Toc10334"/>
      <w:r>
        <w:rPr>
          <w:rFonts w:hint="eastAsia"/>
          <w:lang w:val="en-US" w:eastAsia="zh-CN"/>
        </w:rPr>
        <w:t>地面站操作</w:t>
      </w:r>
      <w:bookmarkEnd w:id="24"/>
    </w:p>
    <w:p>
      <w:pPr>
        <w:pStyle w:val="3"/>
        <w:rPr>
          <w:rFonts w:hint="eastAsia"/>
          <w:lang w:val="en-US" w:eastAsia="zh-CN"/>
        </w:rPr>
      </w:pPr>
      <w:bookmarkStart w:id="25" w:name="_Toc16880"/>
      <w:r>
        <w:rPr>
          <w:rFonts w:hint="eastAsia"/>
          <w:lang w:val="en-US" w:eastAsia="zh-CN"/>
        </w:rPr>
        <w:t>转场测试</w:t>
      </w:r>
      <w:bookmarkEnd w:id="25"/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0"/>
        <w:gridCol w:w="3946"/>
        <w:gridCol w:w="2654"/>
        <w:gridCol w:w="210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硬件检查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供电线缆安装无错位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电池安装正确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飞控、数传、卫星天线安装牢靠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动力电已经断开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设备之间的信号线缆全部安装。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地面站以及相关附属设备准备完成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等待地面站就绪，指挥员发出指令后上电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/>
                <w:szCs w:val="21"/>
              </w:rPr>
              <w:t>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打开地面站，切换到设置界面，连接数传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读取飞行参数，并检查与修改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航线上下传功能检测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到工具界面使用监视器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检查卫星定位信息是否正确，星数是否达到17以上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检查姿态，电压显示等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抬头，右滚转，右偏航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检查空速、攻角和侧滑角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吹空速示数20m/s以上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0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检查控制输出信息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ind w:firstLine="480"/>
        <w:rPr>
          <w:rFonts w:hint="eastAsia"/>
          <w:sz w:val="2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26" w:name="_Toc28414"/>
      <w:r>
        <w:rPr>
          <w:rFonts w:hint="eastAsia"/>
          <w:lang w:val="en-US" w:eastAsia="zh-CN"/>
        </w:rPr>
        <w:t>飞行操作</w:t>
      </w:r>
      <w:bookmarkEnd w:id="26"/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0"/>
        <w:gridCol w:w="3946"/>
        <w:gridCol w:w="2654"/>
        <w:gridCol w:w="210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硬件检查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供电线缆安装无错位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电池安装正确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飞控、数传、卫星天线安装牢靠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动力电已经断开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设备之间的信号线缆全部安装。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地面站以及相关附属设备准备完成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等待地面站就绪，指挥员发出指令后上电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/>
                <w:szCs w:val="21"/>
              </w:rPr>
              <w:t>检查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打开地面站，切换到设置界面，连接数传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读取飞行参数，并检查与修改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航线上下传功能检测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到工具界面使用监视器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检查卫星定位信息是否正确，星数是否达到17以上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检查姿态，惯导数据等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抬头，右滚转，右偏航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电压显示检查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确保每个电池满电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检查空速、攻角和侧滑角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吹空速示数20m/s以上</w:t>
            </w: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检查控制输出信息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飞行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读取飞行参数，并校验所有参数合理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编辑好设定航线，上传航线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下载航线并校验航线正确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指令脚本检查，指令参数正确，指令号正确，二次确认正确，名称正确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在飞行界面，指令框按住ctrl+鼠标右键，选择导入的指令脚本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工具界面，检查PWM输出合理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回到飞行界面等待指挥员指令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发射：点击“operational”模式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点击“发射”，将从弹射架发射</w:t>
            </w:r>
            <w:bookmarkStart w:id="30" w:name="_GoBack"/>
            <w:bookmarkEnd w:id="30"/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监控航迹，姿态，卫星定位，高度，速度等参数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1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tcBorders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等待航线结束，或者手动开伞降落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ind w:firstLine="480"/>
        <w:rPr>
          <w:rFonts w:hint="eastAsia"/>
          <w:sz w:val="24"/>
          <w:lang w:val="en-US" w:eastAsia="zh-CN"/>
        </w:rPr>
      </w:pPr>
    </w:p>
    <w:p>
      <w:pPr>
        <w:spacing w:line="360" w:lineRule="auto"/>
        <w:ind w:firstLine="480"/>
        <w:rPr>
          <w:rFonts w:hint="eastAsia"/>
          <w:sz w:val="24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bookmarkStart w:id="27" w:name="_Toc18743"/>
      <w:r>
        <w:rPr>
          <w:rFonts w:hint="eastAsia"/>
          <w:lang w:val="en-US" w:eastAsia="zh-CN"/>
        </w:rPr>
        <w:t>试飞结束</w:t>
      </w:r>
      <w:bookmarkEnd w:id="27"/>
    </w:p>
    <w:tbl>
      <w:tblPr>
        <w:tblStyle w:val="12"/>
        <w:tblW w:w="12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0"/>
        <w:gridCol w:w="3946"/>
        <w:gridCol w:w="2654"/>
        <w:gridCol w:w="210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5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测试项目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注释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测试结果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2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飞行结束</w:t>
            </w: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确认地面站设置正确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已经进入锁定状态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2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动力下电，飞控保持上电状态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2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使用Linux操作系统的电脑读取飞行数据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2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数据读取完成后所有系统下电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shd w:val="clear" w:color="auto" w:fill="auto"/>
          </w:tcPr>
          <w:p>
            <w:pPr>
              <w:numPr>
                <w:ilvl w:val="0"/>
                <w:numId w:val="12"/>
              </w:numPr>
              <w:tabs>
                <w:tab w:val="left" w:pos="420"/>
              </w:tabs>
              <w:ind w:left="425" w:leftChars="0" w:hanging="4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46" w:type="dxa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检查和</w:t>
            </w:r>
            <w:r>
              <w:rPr>
                <w:rFonts w:hint="eastAsia" w:ascii="宋体" w:hAnsi="宋体"/>
                <w:szCs w:val="21"/>
              </w:rPr>
              <w:t>回收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所有设备，完成飞行试验</w:t>
            </w:r>
          </w:p>
        </w:tc>
        <w:tc>
          <w:tcPr>
            <w:tcW w:w="2654" w:type="dxa"/>
            <w:shd w:val="clear" w:color="auto" w:fill="auto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6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ind w:firstLine="480"/>
        <w:rPr>
          <w:sz w:val="24"/>
        </w:rPr>
      </w:pPr>
    </w:p>
    <w:p>
      <w:pPr>
        <w:pStyle w:val="2"/>
      </w:pPr>
      <w:bookmarkStart w:id="28" w:name="_Toc27214"/>
      <w:r>
        <w:rPr>
          <w:rFonts w:hint="eastAsia"/>
        </w:rPr>
        <w:t>试验撤收</w:t>
      </w:r>
      <w:bookmarkEnd w:id="28"/>
    </w:p>
    <w:tbl>
      <w:tblPr>
        <w:tblStyle w:val="12"/>
        <w:tblW w:w="1401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0"/>
        <w:gridCol w:w="979"/>
        <w:gridCol w:w="4852"/>
        <w:gridCol w:w="1505"/>
        <w:gridCol w:w="2001"/>
        <w:gridCol w:w="2310"/>
        <w:gridCol w:w="18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工作项目</w:t>
            </w:r>
          </w:p>
        </w:tc>
        <w:tc>
          <w:tcPr>
            <w:tcW w:w="48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工作程序内容及要求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判读</w:t>
            </w:r>
          </w:p>
        </w:tc>
        <w:tc>
          <w:tcPr>
            <w:tcW w:w="2001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测试结果</w:t>
            </w:r>
          </w:p>
        </w:tc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支持设备</w:t>
            </w:r>
          </w:p>
        </w:tc>
        <w:tc>
          <w:tcPr>
            <w:tcW w:w="184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排气</w:t>
            </w:r>
          </w:p>
        </w:tc>
        <w:tc>
          <w:tcPr>
            <w:tcW w:w="485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等待喷管自然散热至安全触碰值，开启维修口盖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检查气瓶气压无缓慢漏气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通过气阀排空气瓶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断电</w:t>
            </w:r>
          </w:p>
        </w:tc>
        <w:tc>
          <w:tcPr>
            <w:tcW w:w="4852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向各系统确认能否断电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设备断电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检查电池电量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排油</w:t>
            </w:r>
          </w:p>
        </w:tc>
        <w:tc>
          <w:tcPr>
            <w:tcW w:w="485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检查燃油有无泄漏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将油管与发动机断开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从油管开口处抽油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5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测量剩余油量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结构检查</w:t>
            </w:r>
          </w:p>
        </w:tc>
        <w:tc>
          <w:tcPr>
            <w:tcW w:w="4852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检查结构有无损伤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20" w:type="dxa"/>
          </w:tcPr>
          <w:p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撤收</w:t>
            </w:r>
          </w:p>
        </w:tc>
        <w:tc>
          <w:tcPr>
            <w:tcW w:w="4852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样机转移至总装支架并固定</w:t>
            </w:r>
          </w:p>
        </w:tc>
        <w:tc>
          <w:tcPr>
            <w:tcW w:w="15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□正确      □不正确</w:t>
            </w:r>
          </w:p>
        </w:tc>
        <w:tc>
          <w:tcPr>
            <w:tcW w:w="2310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2205</w:t>
            </w:r>
          </w:p>
        </w:tc>
      </w:tr>
    </w:tbl>
    <w:p/>
    <w:p>
      <w:pPr>
        <w:pStyle w:val="2"/>
      </w:pPr>
      <w:bookmarkStart w:id="29" w:name="_Toc15345"/>
      <w:r>
        <w:rPr>
          <w:rFonts w:hint="eastAsia"/>
        </w:rPr>
        <w:t>结论</w:t>
      </w:r>
      <w:bookmarkEnd w:id="29"/>
    </w:p>
    <w:p>
      <w:pPr>
        <w:spacing w:line="360" w:lineRule="auto"/>
        <w:ind w:firstLine="480"/>
      </w:pPr>
      <w:r>
        <w:rPr>
          <w:rFonts w:hint="eastAsia"/>
          <w:sz w:val="24"/>
        </w:rPr>
        <w:t>本文给出了XXX样机机场测试各项工作的细则，试验项目全面、试验细则编排合理可行，可以作为XXX样机飞行试验阶段的依据。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85B9F6"/>
    <w:multiLevelType w:val="multilevel"/>
    <w:tmpl w:val="EA85B9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172E0537"/>
    <w:multiLevelType w:val="multilevel"/>
    <w:tmpl w:val="172E053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C6A4870"/>
    <w:multiLevelType w:val="multilevel"/>
    <w:tmpl w:val="1C6A4870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3575B6EE"/>
    <w:multiLevelType w:val="multilevel"/>
    <w:tmpl w:val="3575B6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36AA52CC"/>
    <w:multiLevelType w:val="multilevel"/>
    <w:tmpl w:val="36AA52C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9367D9E"/>
    <w:multiLevelType w:val="multilevel"/>
    <w:tmpl w:val="39367D9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94974A6"/>
    <w:multiLevelType w:val="multilevel"/>
    <w:tmpl w:val="394974A6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7">
    <w:nsid w:val="3A2D7E4D"/>
    <w:multiLevelType w:val="multilevel"/>
    <w:tmpl w:val="3A2D7E4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32430"/>
    <w:multiLevelType w:val="multilevel"/>
    <w:tmpl w:val="4BD3243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537DBDD5"/>
    <w:multiLevelType w:val="multilevel"/>
    <w:tmpl w:val="537DBD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0">
    <w:nsid w:val="5E5E1909"/>
    <w:multiLevelType w:val="multilevel"/>
    <w:tmpl w:val="5E5E1909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1">
    <w:nsid w:val="674E67AE"/>
    <w:multiLevelType w:val="multilevel"/>
    <w:tmpl w:val="674E67AE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1004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6F8632FB"/>
    <w:multiLevelType w:val="multilevel"/>
    <w:tmpl w:val="6F8632F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F7006"/>
    <w:rsid w:val="00081755"/>
    <w:rsid w:val="001801A2"/>
    <w:rsid w:val="00312DAA"/>
    <w:rsid w:val="00337000"/>
    <w:rsid w:val="0035069E"/>
    <w:rsid w:val="00377FED"/>
    <w:rsid w:val="00400860"/>
    <w:rsid w:val="00486FED"/>
    <w:rsid w:val="00543378"/>
    <w:rsid w:val="00751B90"/>
    <w:rsid w:val="007E60DE"/>
    <w:rsid w:val="007E799F"/>
    <w:rsid w:val="0087460D"/>
    <w:rsid w:val="009E4612"/>
    <w:rsid w:val="00C1524E"/>
    <w:rsid w:val="00C2792F"/>
    <w:rsid w:val="00C966DE"/>
    <w:rsid w:val="00EE1061"/>
    <w:rsid w:val="00EE5EB5"/>
    <w:rsid w:val="05C161B8"/>
    <w:rsid w:val="0CCE227E"/>
    <w:rsid w:val="147F7006"/>
    <w:rsid w:val="1CFC21CA"/>
    <w:rsid w:val="1D584DCD"/>
    <w:rsid w:val="1FA35A6B"/>
    <w:rsid w:val="21EF3DB9"/>
    <w:rsid w:val="2215316E"/>
    <w:rsid w:val="25761281"/>
    <w:rsid w:val="26557C6F"/>
    <w:rsid w:val="296F6EC0"/>
    <w:rsid w:val="2B0A59C6"/>
    <w:rsid w:val="338A0C8D"/>
    <w:rsid w:val="3BEC5D96"/>
    <w:rsid w:val="431522FC"/>
    <w:rsid w:val="43F34BEB"/>
    <w:rsid w:val="44031E43"/>
    <w:rsid w:val="4B022F1B"/>
    <w:rsid w:val="51521538"/>
    <w:rsid w:val="5722391F"/>
    <w:rsid w:val="5A8F4D4A"/>
    <w:rsid w:val="5E8F0BF2"/>
    <w:rsid w:val="64F42692"/>
    <w:rsid w:val="6A1C14A8"/>
    <w:rsid w:val="6E017838"/>
    <w:rsid w:val="76B50B49"/>
    <w:rsid w:val="793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100" w:after="100"/>
      <w:ind w:left="0" w:firstLine="0"/>
      <w:outlineLvl w:val="0"/>
    </w:pPr>
    <w:rPr>
      <w:b/>
      <w:bCs/>
      <w:kern w:val="44"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100" w:after="100"/>
      <w:ind w:left="773" w:hanging="773" w:hangingChars="275"/>
      <w:outlineLvl w:val="1"/>
    </w:pPr>
    <w:rPr>
      <w:rFonts w:ascii="宋体" w:hAnsi="宋体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100" w:after="10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left" w:pos="420"/>
        <w:tab w:val="right" w:leader="middleDot" w:pos="8296"/>
      </w:tabs>
      <w:spacing w:before="120" w:after="120" w:line="180" w:lineRule="exact"/>
      <w:jc w:val="left"/>
    </w:pPr>
    <w:rPr>
      <w:b/>
      <w:bCs/>
      <w:caps/>
      <w:sz w:val="20"/>
      <w:szCs w:val="20"/>
    </w:rPr>
  </w:style>
  <w:style w:type="paragraph" w:styleId="11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报告正文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997</Words>
  <Characters>5683</Characters>
  <Lines>47</Lines>
  <Paragraphs>13</Paragraphs>
  <TotalTime>0</TotalTime>
  <ScaleCrop>false</ScaleCrop>
  <LinksUpToDate>false</LinksUpToDate>
  <CharactersWithSpaces>6667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2020-09-03T15:14:00Z</dcterms:created>
  <dc:creator>WPS_1459789259</dc:creator>
  <cp:lastModifiedBy>hm</cp:lastModifiedBy>
  <dcterms:modified xsi:type="dcterms:W3CDTF">2020-09-18T02:50:00Z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