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 xml:space="preserve">目 录 </w:t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ascii="黑体" w:hAnsi="宋体" w:eastAsia="黑体"/>
          <w:b w:val="0"/>
          <w:bCs w:val="0"/>
          <w:caps w:val="0"/>
          <w:sz w:val="24"/>
          <w:szCs w:val="24"/>
        </w:rPr>
        <w:fldChar w:fldCharType="begin"/>
      </w:r>
      <w:r>
        <w:rPr>
          <w:rFonts w:ascii="黑体" w:hAnsi="宋体" w:eastAsia="黑体"/>
          <w:b w:val="0"/>
          <w:bCs w:val="0"/>
          <w:caps w:val="0"/>
          <w:sz w:val="24"/>
          <w:szCs w:val="24"/>
        </w:rPr>
        <w:instrText xml:space="preserve"> TOC \o "1-2" \u </w:instrText>
      </w:r>
      <w:r>
        <w:rPr>
          <w:rFonts w:ascii="黑体" w:hAnsi="宋体" w:eastAsia="黑体"/>
          <w:b w:val="0"/>
          <w:bCs w:val="0"/>
          <w:caps w:val="0"/>
          <w:sz w:val="24"/>
          <w:szCs w:val="24"/>
        </w:rPr>
        <w:fldChar w:fldCharType="separate"/>
      </w:r>
      <w:r>
        <w:rPr>
          <w:rFonts w:hint="eastAsia"/>
        </w:rPr>
        <w:t>1 前言</w:t>
      </w:r>
      <w:r>
        <w:tab/>
      </w:r>
      <w:r>
        <w:fldChar w:fldCharType="begin"/>
      </w:r>
      <w:r>
        <w:instrText xml:space="preserve"> PAGEREF _Toc22108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2 依据文件</w:t>
      </w:r>
      <w:r>
        <w:tab/>
      </w:r>
      <w:r>
        <w:fldChar w:fldCharType="begin"/>
      </w:r>
      <w:r>
        <w:instrText xml:space="preserve"> PAGEREF _Toc7579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3 测试目的</w:t>
      </w:r>
      <w:r>
        <w:tab/>
      </w:r>
      <w:r>
        <w:fldChar w:fldCharType="begin"/>
      </w:r>
      <w:r>
        <w:instrText xml:space="preserve"> PAGEREF _Toc21204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4 岗位设置</w:t>
      </w:r>
      <w:r>
        <w:tab/>
      </w:r>
      <w:r>
        <w:fldChar w:fldCharType="begin"/>
      </w:r>
      <w:r>
        <w:instrText xml:space="preserve"> PAGEREF _Toc441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5 协同口令</w:t>
      </w:r>
      <w:r>
        <w:tab/>
      </w:r>
      <w:r>
        <w:fldChar w:fldCharType="begin"/>
      </w:r>
      <w:r>
        <w:instrText xml:space="preserve"> PAGEREF _Toc31496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 w:eastAsia="黑体"/>
          <w:szCs w:val="28"/>
        </w:rPr>
        <w:t>6 测试阶段和技术流程</w:t>
      </w:r>
      <w:r>
        <w:tab/>
      </w:r>
      <w:r>
        <w:fldChar w:fldCharType="begin"/>
      </w:r>
      <w:r>
        <w:instrText xml:space="preserve"> PAGEREF _Toc26642 </w:instrText>
      </w:r>
      <w:r>
        <w:fldChar w:fldCharType="separate"/>
      </w:r>
      <w:r>
        <w:t>4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 w:eastAsia="黑体"/>
          <w:szCs w:val="28"/>
        </w:rPr>
        <w:t>7 测试项目</w:t>
      </w:r>
      <w:r>
        <w:tab/>
      </w:r>
      <w:r>
        <w:fldChar w:fldCharType="begin"/>
      </w:r>
      <w:r>
        <w:instrText xml:space="preserve"> PAGEREF _Toc5443 </w:instrText>
      </w:r>
      <w:r>
        <w:fldChar w:fldCharType="separate"/>
      </w:r>
      <w:r>
        <w:t>4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8.1转运后状态测试</w:t>
      </w:r>
      <w:r>
        <w:tab/>
      </w:r>
      <w:r>
        <w:fldChar w:fldCharType="begin"/>
      </w:r>
      <w:r>
        <w:instrText xml:space="preserve"> PAGEREF _Toc29494 </w:instrText>
      </w:r>
      <w:r>
        <w:fldChar w:fldCharType="separate"/>
      </w:r>
      <w:r>
        <w:t>4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8.2滑跑前状态测试</w:t>
      </w:r>
      <w:r>
        <w:tab/>
      </w:r>
      <w:r>
        <w:fldChar w:fldCharType="begin"/>
      </w:r>
      <w:r>
        <w:instrText xml:space="preserve"> PAGEREF _Toc8568 </w:instrText>
      </w:r>
      <w:r>
        <w:fldChar w:fldCharType="separate"/>
      </w:r>
      <w:r>
        <w:t>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8.3滑跑工况测试</w:t>
      </w:r>
      <w:r>
        <w:tab/>
      </w:r>
      <w:r>
        <w:fldChar w:fldCharType="begin"/>
      </w:r>
      <w:r>
        <w:instrText xml:space="preserve"> PAGEREF _Toc5196 </w:instrText>
      </w:r>
      <w:r>
        <w:fldChar w:fldCharType="separate"/>
      </w:r>
      <w:r>
        <w:t>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8.4起飞前状态测试</w:t>
      </w:r>
      <w:r>
        <w:tab/>
      </w:r>
      <w:r>
        <w:fldChar w:fldCharType="begin"/>
      </w:r>
      <w:r>
        <w:instrText xml:space="preserve"> PAGEREF _Toc308 </w:instrText>
      </w:r>
      <w:r>
        <w:fldChar w:fldCharType="separate"/>
      </w:r>
      <w:r>
        <w:t>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8.5验证飞行工况测试</w:t>
      </w:r>
      <w:r>
        <w:tab/>
      </w:r>
      <w:r>
        <w:fldChar w:fldCharType="begin"/>
      </w:r>
      <w:r>
        <w:instrText xml:space="preserve"> PAGEREF _Toc28611 </w:instrText>
      </w:r>
      <w:r>
        <w:fldChar w:fldCharType="separate"/>
      </w:r>
      <w:r>
        <w:t>6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8 试验细则</w:t>
      </w:r>
      <w:r>
        <w:tab/>
      </w:r>
      <w:r>
        <w:fldChar w:fldCharType="begin"/>
      </w:r>
      <w:r>
        <w:instrText xml:space="preserve"> PAGEREF _Toc13294 </w:instrText>
      </w:r>
      <w:r>
        <w:fldChar w:fldCharType="separate"/>
      </w:r>
      <w:r>
        <w:t>7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8.1 飞行前准备</w:t>
      </w:r>
      <w:r>
        <w:tab/>
      </w:r>
      <w:r>
        <w:fldChar w:fldCharType="begin"/>
      </w:r>
      <w:r>
        <w:instrText xml:space="preserve"> PAGEREF _Toc26838 </w:instrText>
      </w:r>
      <w:r>
        <w:fldChar w:fldCharType="separate"/>
      </w:r>
      <w:r>
        <w:t>7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</w:rPr>
        <w:t>8.2 飞行试验</w:t>
      </w:r>
      <w:r>
        <w:tab/>
      </w:r>
      <w:r>
        <w:fldChar w:fldCharType="begin"/>
      </w:r>
      <w:r>
        <w:instrText xml:space="preserve"> PAGEREF _Toc29459 </w:instrText>
      </w:r>
      <w:r>
        <w:fldChar w:fldCharType="separate"/>
      </w:r>
      <w:r>
        <w:t>19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9 试验撤收</w:t>
      </w:r>
      <w:r>
        <w:tab/>
      </w:r>
      <w:r>
        <w:fldChar w:fldCharType="begin"/>
      </w:r>
      <w:r>
        <w:instrText xml:space="preserve"> PAGEREF _Toc4594 </w:instrText>
      </w:r>
      <w:r>
        <w:fldChar w:fldCharType="separate"/>
      </w:r>
      <w:r>
        <w:t>19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</w:rPr>
        <w:t>10 结论</w:t>
      </w:r>
      <w:r>
        <w:tab/>
      </w:r>
      <w:r>
        <w:fldChar w:fldCharType="begin"/>
      </w:r>
      <w:r>
        <w:instrText xml:space="preserve"> PAGEREF _Toc4929 </w:instrText>
      </w:r>
      <w:r>
        <w:fldChar w:fldCharType="separate"/>
      </w:r>
      <w:r>
        <w:t>20</w:t>
      </w:r>
      <w:r>
        <w:fldChar w:fldCharType="end"/>
      </w:r>
    </w:p>
    <w:p>
      <w:pPr>
        <w:jc w:val="center"/>
        <w:rPr>
          <w:rFonts w:ascii="黑体" w:hAnsi="宋体" w:eastAsia="黑体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  <w:r>
        <w:rPr>
          <w:rFonts w:ascii="黑体" w:hAnsi="宋体" w:eastAsia="黑体"/>
          <w:bCs/>
          <w:caps/>
        </w:rPr>
        <w:fldChar w:fldCharType="end"/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XXX样机</w:t>
      </w:r>
      <w:r>
        <w:rPr>
          <w:b/>
          <w:sz w:val="36"/>
          <w:szCs w:val="36"/>
        </w:rPr>
        <w:t>-T</w:t>
      </w:r>
      <w:r>
        <w:rPr>
          <w:rFonts w:hint="eastAsia"/>
          <w:b/>
          <w:sz w:val="36"/>
          <w:szCs w:val="36"/>
        </w:rPr>
        <w:t>xx</w:t>
      </w:r>
      <w:r>
        <w:rPr>
          <w:b/>
          <w:sz w:val="36"/>
          <w:szCs w:val="36"/>
        </w:rPr>
        <w:t>次试验</w:t>
      </w:r>
      <w:r>
        <w:rPr>
          <w:rFonts w:hint="eastAsia"/>
          <w:b/>
          <w:sz w:val="36"/>
          <w:szCs w:val="36"/>
        </w:rPr>
        <w:t>综合</w:t>
      </w:r>
      <w:r>
        <w:rPr>
          <w:b/>
          <w:sz w:val="36"/>
          <w:szCs w:val="36"/>
        </w:rPr>
        <w:t>测试</w:t>
      </w:r>
      <w:r>
        <w:rPr>
          <w:rFonts w:hint="eastAsia"/>
          <w:b/>
          <w:sz w:val="36"/>
          <w:szCs w:val="36"/>
        </w:rPr>
        <w:t>细则</w:t>
      </w:r>
    </w:p>
    <w:p>
      <w:pPr>
        <w:pStyle w:val="2"/>
      </w:pPr>
      <w:bookmarkStart w:id="0" w:name="_Toc22108"/>
      <w:r>
        <w:rPr>
          <w:rFonts w:hint="eastAsia"/>
        </w:rPr>
        <w:t>前言</w:t>
      </w:r>
      <w:bookmarkEnd w:id="0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本文给出了XXX样机综合测试各项工作的细则，适用于XXX样机起飞前各项测试工作及试飞结束后的状态恢复等工作。</w:t>
      </w:r>
    </w:p>
    <w:p>
      <w:pPr>
        <w:pStyle w:val="2"/>
      </w:pPr>
      <w:bookmarkStart w:id="1" w:name="_Toc7579"/>
      <w:r>
        <w:rPr>
          <w:rFonts w:hint="eastAsia"/>
        </w:rPr>
        <w:t>依据文件</w:t>
      </w:r>
      <w:bookmarkEnd w:id="1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1)</w:t>
      </w:r>
      <w:r>
        <w:rPr>
          <w:rFonts w:hint="eastAsia"/>
          <w:sz w:val="24"/>
        </w:rPr>
        <w:tab/>
      </w:r>
      <w:r>
        <w:rPr>
          <w:rFonts w:ascii="Calibri" w:hAnsi="Calibri" w:cs="Calibri"/>
          <w:szCs w:val="21"/>
        </w:rPr>
        <w:tab/>
      </w:r>
      <w:r>
        <w:rPr>
          <w:rFonts w:hint="eastAsia" w:ascii="Calibri" w:hAnsi="Calibri" w:cs="Calibri"/>
          <w:szCs w:val="21"/>
        </w:rPr>
        <w:t>xxxxxxx（文件编号）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XXX样机</w:t>
      </w:r>
      <w:r>
        <w:rPr>
          <w:sz w:val="24"/>
        </w:rPr>
        <w:t>-T</w:t>
      </w:r>
      <w:r>
        <w:rPr>
          <w:rFonts w:hint="eastAsia"/>
          <w:sz w:val="24"/>
        </w:rPr>
        <w:t>xx</w:t>
      </w:r>
      <w:r>
        <w:rPr>
          <w:sz w:val="24"/>
        </w:rPr>
        <w:t>次试验大纲</w:t>
      </w:r>
    </w:p>
    <w:p>
      <w:pPr>
        <w:pStyle w:val="2"/>
      </w:pPr>
      <w:bookmarkStart w:id="2" w:name="_Toc23700104"/>
      <w:bookmarkEnd w:id="2"/>
      <w:bookmarkStart w:id="3" w:name="_Toc21204"/>
      <w:r>
        <w:rPr>
          <w:rFonts w:hint="eastAsia"/>
        </w:rPr>
        <w:t>测试目的</w:t>
      </w:r>
      <w:bookmarkEnd w:id="3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（1）对XXX样机进行全面的性能检查，确认样机系统级及分系统级功能，满足开展滑跑、试飞工况要求；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（2）确认各分系统状态正常后，开展XXX样机低、中、高速滑跑工况；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（3）滑跑工况结束后，开展数据分析，确认无异常后，开展试飞工况。</w:t>
      </w:r>
    </w:p>
    <w:p>
      <w:pPr>
        <w:pStyle w:val="2"/>
      </w:pPr>
      <w:bookmarkStart w:id="4" w:name="_Toc441"/>
      <w:r>
        <w:rPr>
          <w:rFonts w:hint="eastAsia"/>
        </w:rPr>
        <w:t>岗位设置</w:t>
      </w:r>
      <w:bookmarkEnd w:id="4"/>
    </w:p>
    <w:p>
      <w:pPr>
        <w:spacing w:line="360" w:lineRule="auto"/>
        <w:ind w:left="360" w:firstLine="480" w:firstLineChars="200"/>
        <w:rPr>
          <w:sz w:val="24"/>
        </w:rPr>
      </w:pPr>
      <w:r>
        <w:rPr>
          <w:rFonts w:hint="eastAsia"/>
          <w:sz w:val="24"/>
        </w:rPr>
        <w:t>参加本次外场试验的相关具体试验岗位及人员设置详见《关于申请XXX样机外场试验队组建及经费预算的报告》。</w:t>
      </w:r>
    </w:p>
    <w:p>
      <w:pPr>
        <w:spacing w:line="360" w:lineRule="auto"/>
        <w:ind w:left="360" w:firstLine="480" w:firstLineChars="200"/>
      </w:pPr>
      <w:r>
        <w:rPr>
          <w:rFonts w:hint="eastAsia"/>
          <w:sz w:val="24"/>
        </w:rPr>
        <w:t>【此处应明确下节中各岗位代号，如现场指挥为2201等】</w:t>
      </w:r>
    </w:p>
    <w:p>
      <w:pPr>
        <w:pStyle w:val="2"/>
      </w:pPr>
      <w:bookmarkStart w:id="5" w:name="_Toc31496"/>
      <w:r>
        <w:rPr>
          <w:rFonts w:hint="eastAsia"/>
        </w:rPr>
        <w:t>协同口令</w:t>
      </w:r>
      <w:bookmarkEnd w:id="5"/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313"/>
        <w:gridCol w:w="1312"/>
        <w:gridCol w:w="1312"/>
        <w:gridCol w:w="1312"/>
        <w:gridCol w:w="1312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313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2201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2203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2205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2208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……</w:t>
            </w:r>
          </w:p>
        </w:tc>
        <w:tc>
          <w:tcPr>
            <w:tcW w:w="1306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“各号注意，现在开始点名”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按照各岗位清点人数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依次呼点各号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2203到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2205到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2208到</w:t>
            </w:r>
          </w:p>
        </w:tc>
        <w:tc>
          <w:tcPr>
            <w:tcW w:w="1312" w:type="dxa"/>
          </w:tcPr>
          <w:p>
            <w:r>
              <w:t>……</w:t>
            </w:r>
            <w:r>
              <w:rPr>
                <w:rFonts w:hint="eastAsia"/>
              </w:rPr>
              <w:t>到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“收到”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“各号注意，现在收集各号准备状态”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收集各号加电前状态准备情况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依次询问各号加电准备情况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2203准备好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2205准备好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2208准备好</w:t>
            </w:r>
          </w:p>
        </w:tc>
        <w:tc>
          <w:tcPr>
            <w:tcW w:w="1312" w:type="dxa"/>
          </w:tcPr>
          <w:p>
            <w:r>
              <w:t>……</w:t>
            </w:r>
            <w:r>
              <w:rPr>
                <w:rFonts w:hint="eastAsia"/>
              </w:rPr>
              <w:t>准备好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“明白，各号注意，整机准备加电”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整机加电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“2208，准备打开飞机供电开关”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“2208报告，供电开关已打开”</w:t>
            </w:r>
          </w:p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“明白，各号注意，整机已上电”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“各号注意，现在准备进行XX检查”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开始进行某项检查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明白”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报告，XX检查结果正常”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“明白”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“各号注意，整机准备断电，现在收集各号断电前状态”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收集各号断电前状态。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依次呼点各号，收集各号状态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“2203正常”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“2205正常”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“2208正常”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.正常”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“明白”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“各号注意，今天测试工作结束，请各号关闭地面设备”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“2203正常”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“2205正常”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“2208正常”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.正常”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“2203申请进行舵面测试”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“2201明白，请执行舵面测试”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“2203明白”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</w:tcPr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/>
    <w:p>
      <w:pPr>
        <w:pStyle w:val="2"/>
        <w:spacing w:before="0" w:after="0"/>
        <w:ind w:left="432" w:hanging="432"/>
        <w:rPr>
          <w:rFonts w:eastAsia="黑体"/>
          <w:szCs w:val="28"/>
        </w:rPr>
      </w:pPr>
      <w:bookmarkStart w:id="6" w:name="_Toc26642"/>
      <w:r>
        <w:rPr>
          <w:rFonts w:hint="eastAsia" w:eastAsia="黑体"/>
          <w:szCs w:val="28"/>
        </w:rPr>
        <w:t>测试阶段和技术流程</w:t>
      </w:r>
      <w:bookmarkEnd w:id="6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XXX样机T06次外场试验分为转运后状态测试、滑跑前状态测试、滑跑工况测试、起飞前状态测试、验证飞行工况测试等五个阶段。其中，转运后状态测试包括供电检查、各分系统状态检查、系统间接口匹配检查；滑跑前状态测试包括滑跑参数设定、各分系统输出参数检查；滑跑工况测试包括滑跑动态测试、测试后数据判读；起飞前状态检查包括整机设备及电缆总装检查、设备状态检查、分系统输出参数检查、滑跑数据判读结果分析；验证飞行工况测试包括飞行动态测试、测试后数据判读。整体技术流程如下图1所示。</w:t>
      </w:r>
    </w:p>
    <w:p>
      <w:pPr>
        <w:spacing w:line="360" w:lineRule="auto"/>
        <w:jc w:val="center"/>
      </w:pPr>
      <w:r>
        <w:object>
          <v:shape id="_x0000_i1025" o:spt="75" type="#_x0000_t75" style="height:145.35pt;width:41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6">
            <o:LockedField>false</o:LockedField>
          </o:OLEObject>
        </w:object>
      </w:r>
    </w:p>
    <w:p>
      <w:pPr>
        <w:spacing w:line="360" w:lineRule="auto"/>
        <w:jc w:val="center"/>
        <w:rPr>
          <w:sz w:val="24"/>
        </w:rPr>
      </w:pPr>
      <w:r>
        <w:rPr>
          <w:szCs w:val="21"/>
        </w:rPr>
        <w:t>图</w:t>
      </w:r>
      <w:r>
        <w:rPr>
          <w:rFonts w:hint="eastAsia"/>
          <w:szCs w:val="21"/>
        </w:rPr>
        <w:t xml:space="preserve">6-1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XXX样机T06次外场试验</w:t>
      </w:r>
      <w:r>
        <w:rPr>
          <w:szCs w:val="21"/>
        </w:rPr>
        <w:t>技术流程</w:t>
      </w:r>
      <w:r>
        <w:rPr>
          <w:rFonts w:hint="eastAsia"/>
          <w:szCs w:val="21"/>
        </w:rPr>
        <w:t>图</w:t>
      </w:r>
    </w:p>
    <w:p>
      <w:pPr>
        <w:pStyle w:val="2"/>
        <w:spacing w:before="0" w:after="0"/>
        <w:ind w:left="432" w:hanging="432"/>
        <w:rPr>
          <w:rFonts w:eastAsia="黑体"/>
          <w:szCs w:val="28"/>
        </w:rPr>
      </w:pPr>
      <w:bookmarkStart w:id="7" w:name="_Toc5443"/>
      <w:r>
        <w:rPr>
          <w:rFonts w:hint="eastAsia" w:eastAsia="黑体"/>
          <w:szCs w:val="28"/>
        </w:rPr>
        <w:t>测试项目</w:t>
      </w:r>
      <w:bookmarkEnd w:id="7"/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8" w:name="_Toc29494"/>
      <w:bookmarkStart w:id="9" w:name="_Toc23541096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.1转运后状态测试</w:t>
      </w:r>
      <w:bookmarkEnd w:id="8"/>
      <w:bookmarkEnd w:id="9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在整机总装工作完成后，对整机进行全面测试验证。</w:t>
      </w:r>
    </w:p>
    <w:p>
      <w:pPr>
        <w:pStyle w:val="4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0" w:name="_Toc23541097"/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.1.1供电检查</w:t>
      </w:r>
      <w:bookmarkEnd w:id="10"/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.1.1.1能源与信息供电检查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检查电池为各用电设备供电情况。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检查电源开关供电通断控制功能。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检查外部供电及内外电切换功能。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检查数据链通信数据格式正确性。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检查数据链无线链路通信正确性。</w:t>
      </w:r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.1.1.2飞行控制供电检查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检查飞控计算机与复合型空速计之间通信数据格式正确性。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</w:p>
    <w:p>
      <w:pPr>
        <w:pStyle w:val="4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1" w:name="_Toc23541098"/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.1.2功能测试</w:t>
      </w:r>
      <w:bookmarkEnd w:id="11"/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.1.2.1飞行控制功能测试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测试飞控计算机传感器信息采集处理、执行机构操作、数据通信功能。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测试飞控计算机接收执行上行遥控指令功能。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测试飞控计算机接收下行遥测指令功能。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通过检测器观察飞控计算机状态，传感器状态输入，控制指令输出，飞行控制参数等。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测试飞控计算机接收处理上行注入数据（场高装订、上传航路点、参数调节）功能。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测试复合型空速管测量极性（采用风机）。</w:t>
      </w:r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.1.2.2能源与信息功能测试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测试数据链上下行无线链路通信功能。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测试数据链天线切换功能。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测试上行遥控、数据注入功能。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测试下行遥测功能。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测试高速数据下行传输功能。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2" w:name="_Toc8568"/>
      <w:bookmarkStart w:id="13" w:name="_Toc23541100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.2滑跑前状态测试</w:t>
      </w:r>
      <w:bookmarkEnd w:id="12"/>
      <w:bookmarkEnd w:id="13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在整机总装工作完成后，对整机进行全面测试验证，确保整机状态具备出厂条件。</w:t>
      </w:r>
    </w:p>
    <w:p>
      <w:pPr>
        <w:pStyle w:val="4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4" w:name="_Toc23541101"/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.2.1参数设定及分系统参数检查</w:t>
      </w:r>
      <w:bookmarkEnd w:id="14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回收与着陆参数设定（刹车、转向舵机）；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上电后，各分系统参数状态判读；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5" w:name="_Toc23541103"/>
      <w:bookmarkStart w:id="16" w:name="_Toc5196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.3滑跑工况测试</w:t>
      </w:r>
      <w:bookmarkEnd w:id="15"/>
      <w:bookmarkEnd w:id="16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开展滑跑工况（速度分别为XXXXXXXm/s）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7" w:name="_Toc308"/>
      <w:bookmarkStart w:id="18" w:name="_Toc23541104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.4起飞前状态测试</w:t>
      </w:r>
      <w:bookmarkEnd w:id="17"/>
      <w:bookmarkEnd w:id="18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滑跑数据判读；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总装检查，确认机上设备、电缆、起落架等安装到位；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9" w:name="_Toc23541105"/>
      <w:bookmarkStart w:id="20" w:name="_Toc28611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.5验证飞行工况测试</w:t>
      </w:r>
      <w:bookmarkEnd w:id="19"/>
      <w:bookmarkEnd w:id="20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开展验证飞行工况（起落架保持放下、航线使用验证工况航线）。</w:t>
      </w:r>
    </w:p>
    <w:p>
      <w:pPr>
        <w:numPr>
          <w:ilvl w:val="0"/>
          <w:numId w:val="0"/>
        </w:numPr>
        <w:spacing w:line="360" w:lineRule="auto"/>
        <w:ind w:left="480" w:leftChars="0"/>
        <w:rPr>
          <w:rFonts w:hint="eastAsia"/>
          <w:sz w:val="24"/>
        </w:rPr>
      </w:pPr>
    </w:p>
    <w:p>
      <w:pPr>
        <w:numPr>
          <w:ilvl w:val="0"/>
          <w:numId w:val="0"/>
        </w:numPr>
        <w:spacing w:line="360" w:lineRule="auto"/>
        <w:ind w:left="480" w:leftChars="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8 </w:t>
      </w:r>
    </w:p>
    <w:p>
      <w:pPr>
        <w:numPr>
          <w:ilvl w:val="0"/>
          <w:numId w:val="0"/>
        </w:numPr>
        <w:spacing w:line="360" w:lineRule="auto"/>
        <w:ind w:left="480" w:leftChars="0"/>
        <w:rPr>
          <w:rFonts w:hint="default" w:eastAsia="宋体"/>
          <w:sz w:val="24"/>
          <w:lang w:val="en-US" w:eastAsia="zh-CN"/>
        </w:rPr>
      </w:pPr>
    </w:p>
    <w:p>
      <w:pPr>
        <w:pStyle w:val="2"/>
      </w:pPr>
      <w:bookmarkStart w:id="21" w:name="_Toc13294"/>
      <w:r>
        <w:rPr>
          <w:rFonts w:hint="eastAsia"/>
        </w:rPr>
        <w:t>试验细则</w:t>
      </w:r>
      <w:bookmarkEnd w:id="21"/>
    </w:p>
    <w:p>
      <w:pPr>
        <w:pStyle w:val="3"/>
      </w:pPr>
      <w:bookmarkStart w:id="22" w:name="_Toc26838"/>
      <w:r>
        <w:rPr>
          <w:rFonts w:hint="eastAsia"/>
        </w:rPr>
        <w:t>飞行前准备</w:t>
      </w:r>
      <w:bookmarkEnd w:id="22"/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 xml:space="preserve">进行预先检查，确保各系统工作正常，具备进行电性能测试的条件，在首次到达机场后、或者飞机在机场经过装箱转运后，建议按照8.1.3、8.1.4节进行全面的检查，在经过全面检查，确保设备均工作正常后，可按照8.1.5进行滑跑前设置，按照8.1.7进行起飞前设置后即可进行相应的滑跑及飞行试验。 </w:t>
      </w:r>
    </w:p>
    <w:p>
      <w:pPr>
        <w:pStyle w:val="4"/>
        <w:ind w:left="964" w:hanging="964" w:hangingChars="343"/>
      </w:pPr>
      <w:r>
        <w:rPr>
          <w:rFonts w:hint="eastAsia"/>
        </w:rPr>
        <w:t>加电前准备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1"/>
        <w:gridCol w:w="3943"/>
        <w:gridCol w:w="2656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试验准备</w:t>
            </w: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试验区域划分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试验帐篷搭建、桌椅摆放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地面设备展开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现场各岗位口令演练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记录大气环境情况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场区电磁环境扫频监视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★关键控制点：图传摄像头开始充电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2207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样机转移至测试工位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连接发动机本体电缆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2206</w:t>
            </w:r>
          </w:p>
        </w:tc>
      </w:tr>
    </w:tbl>
    <w:p>
      <w:pPr>
        <w:pStyle w:val="4"/>
        <w:ind w:left="964" w:hanging="964" w:hangingChars="343"/>
        <w:rPr>
          <w:rFonts w:hint="eastAsia"/>
        </w:rPr>
      </w:pPr>
      <w:r>
        <w:rPr>
          <w:rFonts w:hint="eastAsia"/>
        </w:rPr>
        <w:t>发射筒实验操作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642"/>
        <w:gridCol w:w="3941"/>
        <w:gridCol w:w="2654"/>
        <w:gridCol w:w="210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发射筒实验</w:t>
            </w: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检查发射筒的管壁，螺栓等有无损坏，松动；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发射筒按照指定要求调整射向和射角；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★关键控制点：地面坚实，筒体尾部砸地钉，支腿压重物，使用测角仪测量发射角度；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检查发射电池是否满电；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★关键控制点：测量发射电池电压；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检查发射开关是否正常；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★关键控制点：接电按压开关，阀门发出声音；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检查发射活塞；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★关键控制点：发射活塞有无破损，裂痕；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模拟弹称重，检查是否完好；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★关键控制点：检查是否有螺丝松动，零件脱落，判断翼片是否可用；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依次装填活塞和模拟弹；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★关键控制点：注意活塞装填的正反，确认装填到位，或者听到活塞滑落到发射管底部碰撞的声音。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发射筒充气，达到发射压力；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★关键控制点：充气过程中实时报压力表表压，不要过充或者充气压力不足。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充气操作人员撤离，指挥员通知各阵位准备就绪；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★关键控制点：打开炮口测速仪，显示雷达标志。</w:t>
            </w: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下达发射命令，按压开关，发射模拟弹；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采集炮口测速仪数据，并报告给总指挥；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★关键控制点：轻按扳机一次，显示记录数据。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回收模拟弹和弹托，清洗泥污，准备再次发射。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pStyle w:val="4"/>
        <w:ind w:left="964" w:hanging="964" w:hangingChars="343"/>
      </w:pPr>
      <w:r>
        <w:rPr>
          <w:rFonts w:hint="eastAsia"/>
        </w:rPr>
        <w:t>加电前状态检查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642"/>
        <w:gridCol w:w="3941"/>
        <w:gridCol w:w="2654"/>
        <w:gridCol w:w="210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jc w:val="center"/>
        </w:trPr>
        <w:tc>
          <w:tcPr>
            <w:tcW w:w="8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状态检查</w:t>
            </w: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设备固定情况检查、结构机构部件检查、设备螺栓连接位置检查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检查主翼、尾翼展开机构是否正常，翼片旋转顺滑无卡顿，锁定功能可靠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电缆连接插头检查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★关键控制点：确认飞控，任务计算机，数据链，电源模块，舵机，电调，电机，数据链，光电摄像机，GPS天线等线缆插接正确可靠。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空速管气路连接插头检查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伞舱盖状态检查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★关键控制点：伞舱盖为虚掩状态。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取下空速管保护罩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进行空速管初始值清零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检查主电池电压是否正常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★关键控制点：测量并记录</w:t>
            </w: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pStyle w:val="4"/>
        <w:ind w:left="964" w:hanging="964" w:hangingChars="343"/>
        <w:rPr>
          <w:color w:val="FF0000"/>
        </w:rPr>
      </w:pPr>
      <w:r>
        <w:rPr>
          <w:rFonts w:hint="eastAsia"/>
          <w:color w:val="FF0000"/>
        </w:rPr>
        <w:t>转运后加电检查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整机上电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打开主开关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主开关打开后10s内，伞舱舵机处于打开状态，10s后自动恢复至关闭状态</w:t>
            </w:r>
          </w:p>
          <w:p>
            <w:pPr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i/>
                <w:color w:val="FF0000"/>
                <w:szCs w:val="21"/>
              </w:rPr>
              <w:t>★关键控制点：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测试过程中伞舱盖处于虚掩状态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整机上电后初始状态确认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2207、2209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复合型空速计空速检查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转运后功能匹配检查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天线状态确认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数据链及图传天线为定向状态，数据链天线为全向状态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遥控器拉距测试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连续控制副翼俯仰，观察舵</w:t>
            </w:r>
          </w:p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面输出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发动机供电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油门装订预测试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起落架检查【根据样机情况自行设置】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允许收放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飞行模式确认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飞行模式为手控锁定状态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飞机抬头、低头姿态检查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飞机左滚、右滚姿态检查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飞机左偏、右偏姿态检查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转运后指令匹配检查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副翼俯仰指令检查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副翼滚转指令检查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V尾与前轮指令检查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遥控伞舱舵机检查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检查完成后恢复舵机至关闭状态，伞舱舱门保持虚掩状态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遥控发动机启动、关车、强制关车检查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检查完成后恢复发动机至启动状态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主份地面站应急令检查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检查完成后恢复舵机至关闭状态、恢复发动机至启动状态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飞控解锁，待刹车解除后再飞控上锁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备份地面站应急令检查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检查完成后恢复舵机至关闭状态、恢复发动机至启动状态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飞控解锁，待刹车解除后再飞控上锁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通过手柄发送应急指令检查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检查完成后恢复舵机至关闭状态、设置发动机为自动关车状态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遥控器解锁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设置发动机为关机状态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遥控器发动机油门检查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i/>
                <w:color w:val="FF0000"/>
                <w:szCs w:val="21"/>
              </w:rPr>
              <w:t>★关键控制点：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发动机油门检查时，设置为发动机为关机状态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发动机油门杆设置为最低位置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遥控器上锁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场高装订、毫米波使能、控制参数装订预测试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i/>
                <w:color w:val="FF0000"/>
                <w:szCs w:val="21"/>
              </w:rPr>
              <w:t>★关键控制点：1)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地面差分GPS定位后方可进行场高装订、毫米波使能，进行控制参数装订;2)场高装订时飞机位于着陆点位置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收集各号状态，询问各号功能检查是否正常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发动机断电，风扇断电、整机断电（根据需要进行）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遥控器操作权移交操作手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关闭遥控器（根据需要进行）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进行遥控器充电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</w:tbl>
    <w:p>
      <w:pPr>
        <w:pStyle w:val="4"/>
        <w:ind w:left="964" w:hanging="964" w:hangingChars="343"/>
      </w:pPr>
      <w:r>
        <w:rPr>
          <w:rFonts w:hint="eastAsia"/>
        </w:rPr>
        <w:t>发射前检查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确认地面站设置正确；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机载电池电压遥测正常；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确认样机姿态解算正确；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发射筒，样机装填到位；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确认样机滚转方向装填正确；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充气后检查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确认发射压力达到；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确认炮口测速仪打开；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确认环境风速</w:t>
            </w:r>
            <w:r>
              <w:rPr>
                <w:rFonts w:ascii="Cambria Math" w:hAnsi="Cambria Math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</w:rPr>
              <w:t>6m/s；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发射操作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发射样机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采集炮口测速仪数据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pStyle w:val="3"/>
      </w:pPr>
      <w:bookmarkStart w:id="23" w:name="_Toc29459"/>
      <w:r>
        <w:rPr>
          <w:rFonts w:hint="eastAsia"/>
        </w:rPr>
        <w:t>飞行试验</w:t>
      </w:r>
      <w:bookmarkEnd w:id="23"/>
    </w:p>
    <w:p>
      <w:pPr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按照上述环节设置，依据XXX样机</w:t>
      </w:r>
      <w:r>
        <w:rPr>
          <w:sz w:val="24"/>
        </w:rPr>
        <w:t>-T</w:t>
      </w:r>
      <w:r>
        <w:rPr>
          <w:rFonts w:hint="eastAsia"/>
          <w:sz w:val="24"/>
        </w:rPr>
        <w:t>xx</w:t>
      </w:r>
      <w:r>
        <w:rPr>
          <w:sz w:val="24"/>
        </w:rPr>
        <w:t>次外场试验大纲</w:t>
      </w:r>
      <w:r>
        <w:rPr>
          <w:rFonts w:hint="eastAsia"/>
          <w:sz w:val="24"/>
        </w:rPr>
        <w:t>，完成所有飞行项目。</w:t>
      </w:r>
    </w:p>
    <w:p>
      <w:pPr>
        <w:pStyle w:val="4"/>
        <w:ind w:left="964" w:hanging="964" w:hangingChars="343"/>
      </w:pPr>
      <w:r>
        <w:rPr>
          <w:rFonts w:hint="eastAsia"/>
        </w:rPr>
        <w:t>样机落地后操作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样机回收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地面站进行XX操作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回收现场拍照录像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样机现场断电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2209</w:t>
            </w:r>
          </w:p>
        </w:tc>
      </w:tr>
    </w:tbl>
    <w:p>
      <w:pPr>
        <w:spacing w:line="360" w:lineRule="auto"/>
        <w:ind w:firstLine="480"/>
        <w:rPr>
          <w:sz w:val="24"/>
        </w:rPr>
      </w:pPr>
    </w:p>
    <w:p>
      <w:pPr>
        <w:spacing w:line="360" w:lineRule="auto"/>
        <w:ind w:firstLine="480"/>
        <w:rPr>
          <w:sz w:val="24"/>
        </w:rPr>
      </w:pPr>
    </w:p>
    <w:p>
      <w:pPr>
        <w:spacing w:line="360" w:lineRule="auto"/>
        <w:ind w:firstLine="480"/>
        <w:rPr>
          <w:sz w:val="24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地面站操作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转场测试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硬件检查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供电线缆安装无错位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电池安装正确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飞控、数传、卫星天线安装牢靠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动力电已经断开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设备之间的信号线缆全部安装。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地面站以及相关附属设备准备完成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等待地面站就绪，指挥员发出指令后上电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软件</w:t>
            </w:r>
            <w:r>
              <w:rPr>
                <w:rFonts w:hint="eastAsia" w:ascii="宋体" w:hAnsi="宋体"/>
                <w:szCs w:val="21"/>
              </w:rPr>
              <w:t>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打开地面站，切换到设置界面，连接数传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读取飞行参数，并检查与修改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航线上下传功能检测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到工具界面使用监视器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检查卫星定位信息是否正确，星数是否达到17以上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检查姿态，电压显示等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抬头，右滚转，右偏航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检查空速、攻角和侧滑角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吹空速示数20m/s以上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检查控制输出信息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飞行操作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飞行</w:t>
            </w:r>
            <w:r>
              <w:rPr>
                <w:rFonts w:hint="eastAsia" w:ascii="宋体" w:hAnsi="宋体"/>
                <w:szCs w:val="21"/>
              </w:rPr>
              <w:t>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确认地面站设置正确；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机载电池电压遥测正常；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确认样机姿态解算正确；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发射筒，样机装填到位；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确认样机滚转方向装填正确；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飞行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确认发射压力达到；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确认炮口测速仪打开；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确认环境风速</w:t>
            </w:r>
            <w:r>
              <w:rPr>
                <w:rFonts w:ascii="Cambria Math" w:hAnsi="Cambria Math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</w:rPr>
              <w:t>6m/s；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bookmarkStart w:id="26" w:name="_GoBack"/>
            <w:bookmarkEnd w:id="26"/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发射样机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采集炮口测速仪数据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试飞结束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确认地面站设置正确；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机载电池电压遥测正常；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确认样机姿态解算正确；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发射筒，样机装填到位；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确认样机滚转方向装填正确；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充气后检查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确认发射压力达到；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确认炮口测速仪打开；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确认环境风速</w:t>
            </w:r>
            <w:r>
              <w:rPr>
                <w:rFonts w:ascii="Cambria Math" w:hAnsi="Cambria Math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</w:rPr>
              <w:t>6m/s；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发射操作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发射样机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采集炮口测速仪数据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  <w:ind w:firstLine="480"/>
        <w:rPr>
          <w:sz w:val="24"/>
        </w:rPr>
      </w:pPr>
    </w:p>
    <w:p>
      <w:pPr>
        <w:pStyle w:val="2"/>
      </w:pPr>
      <w:bookmarkStart w:id="24" w:name="_Toc4594"/>
      <w:r>
        <w:rPr>
          <w:rFonts w:hint="eastAsia"/>
        </w:rPr>
        <w:t>试验撤收</w:t>
      </w:r>
      <w:bookmarkEnd w:id="24"/>
    </w:p>
    <w:tbl>
      <w:tblPr>
        <w:tblStyle w:val="12"/>
        <w:tblW w:w="1401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0"/>
        <w:gridCol w:w="979"/>
        <w:gridCol w:w="4852"/>
        <w:gridCol w:w="1505"/>
        <w:gridCol w:w="2001"/>
        <w:gridCol w:w="2310"/>
        <w:gridCol w:w="184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工作项目</w:t>
            </w: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工作程序内容及要求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判读</w:t>
            </w:r>
          </w:p>
        </w:tc>
        <w:tc>
          <w:tcPr>
            <w:tcW w:w="2001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测试结果</w:t>
            </w:r>
          </w:p>
        </w:tc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支持设备</w:t>
            </w:r>
          </w:p>
        </w:tc>
        <w:tc>
          <w:tcPr>
            <w:tcW w:w="184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排气</w:t>
            </w: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等待喷管自然散热至安全触碰值，开启维修口盖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检查气瓶气压无缓慢漏气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通过气阀排空气瓶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断电</w:t>
            </w: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向各系统确认能否断电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设备断电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检查电池电量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排油</w:t>
            </w: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检查燃油有无泄漏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将油管与发动机断开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从油管开口处抽油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测量剩余油量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结构检查</w:t>
            </w: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检查结构有无损伤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2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撤收</w:t>
            </w: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样机转移至总装支架并固定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2205</w:t>
            </w:r>
          </w:p>
        </w:tc>
      </w:tr>
    </w:tbl>
    <w:p/>
    <w:p>
      <w:pPr>
        <w:pStyle w:val="2"/>
      </w:pPr>
      <w:bookmarkStart w:id="25" w:name="_Toc4929"/>
      <w:r>
        <w:rPr>
          <w:rFonts w:hint="eastAsia"/>
        </w:rPr>
        <w:t>结论</w:t>
      </w:r>
      <w:bookmarkEnd w:id="25"/>
    </w:p>
    <w:p>
      <w:pPr>
        <w:spacing w:line="360" w:lineRule="auto"/>
        <w:ind w:firstLine="480"/>
      </w:pPr>
      <w:r>
        <w:rPr>
          <w:rFonts w:hint="eastAsia"/>
          <w:sz w:val="24"/>
        </w:rPr>
        <w:t>本文给出了XXX样机机场测试各项工作的细则，试验项目全面、试验细则编排合理可行，可以作为XXX样机飞行试验阶段的依据。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AEA162"/>
    <w:multiLevelType w:val="multilevel"/>
    <w:tmpl w:val="F9AEA16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172E0537"/>
    <w:multiLevelType w:val="multilevel"/>
    <w:tmpl w:val="172E053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C6A4870"/>
    <w:multiLevelType w:val="multilevel"/>
    <w:tmpl w:val="1C6A4870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36AA52CC"/>
    <w:multiLevelType w:val="multilevel"/>
    <w:tmpl w:val="36AA52C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9367D9E"/>
    <w:multiLevelType w:val="multilevel"/>
    <w:tmpl w:val="39367D9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394974A6"/>
    <w:multiLevelType w:val="multilevel"/>
    <w:tmpl w:val="394974A6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6">
    <w:nsid w:val="3A2D7E4D"/>
    <w:multiLevelType w:val="multilevel"/>
    <w:tmpl w:val="3A2D7E4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4BD32430"/>
    <w:multiLevelType w:val="multilevel"/>
    <w:tmpl w:val="4BD3243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537DBDD5"/>
    <w:multiLevelType w:val="multilevel"/>
    <w:tmpl w:val="537DBDD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9">
    <w:nsid w:val="5E5E1909"/>
    <w:multiLevelType w:val="multilevel"/>
    <w:tmpl w:val="5E5E1909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0">
    <w:nsid w:val="674E67AE"/>
    <w:multiLevelType w:val="multilevel"/>
    <w:tmpl w:val="674E67AE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1004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>
    <w:nsid w:val="6F8632FB"/>
    <w:multiLevelType w:val="multilevel"/>
    <w:tmpl w:val="6F8632FB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11"/>
  </w:num>
  <w:num w:numId="8">
    <w:abstractNumId w:val="4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F7006"/>
    <w:rsid w:val="00081755"/>
    <w:rsid w:val="001801A2"/>
    <w:rsid w:val="00312DAA"/>
    <w:rsid w:val="00337000"/>
    <w:rsid w:val="00377FED"/>
    <w:rsid w:val="00400860"/>
    <w:rsid w:val="00486FED"/>
    <w:rsid w:val="00543378"/>
    <w:rsid w:val="00751B90"/>
    <w:rsid w:val="007E60DE"/>
    <w:rsid w:val="007E799F"/>
    <w:rsid w:val="0087460D"/>
    <w:rsid w:val="009E4612"/>
    <w:rsid w:val="00C1524E"/>
    <w:rsid w:val="00C2792F"/>
    <w:rsid w:val="00C966DE"/>
    <w:rsid w:val="00EE1061"/>
    <w:rsid w:val="00EE5EB5"/>
    <w:rsid w:val="05C161B8"/>
    <w:rsid w:val="147F7006"/>
    <w:rsid w:val="1CFC21CA"/>
    <w:rsid w:val="1FA35A6B"/>
    <w:rsid w:val="21EF3DB9"/>
    <w:rsid w:val="2215316E"/>
    <w:rsid w:val="25761281"/>
    <w:rsid w:val="338A0C8D"/>
    <w:rsid w:val="431522FC"/>
    <w:rsid w:val="43F34BEB"/>
    <w:rsid w:val="4B022F1B"/>
    <w:rsid w:val="51521538"/>
    <w:rsid w:val="5A8F4D4A"/>
    <w:rsid w:val="5E8F0BF2"/>
    <w:rsid w:val="793C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100" w:after="100"/>
      <w:ind w:left="0" w:firstLine="0"/>
      <w:outlineLvl w:val="0"/>
    </w:pPr>
    <w:rPr>
      <w:b/>
      <w:bCs/>
      <w:kern w:val="44"/>
      <w:sz w:val="28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100" w:after="100"/>
      <w:ind w:left="773" w:hanging="773" w:hangingChars="275"/>
      <w:outlineLvl w:val="1"/>
    </w:pPr>
    <w:rPr>
      <w:rFonts w:ascii="宋体" w:hAnsi="宋体"/>
      <w:b/>
      <w:b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100" w:after="10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tabs>
        <w:tab w:val="left" w:pos="420"/>
        <w:tab w:val="right" w:leader="middleDot" w:pos="8296"/>
      </w:tabs>
      <w:spacing w:before="120" w:after="120" w:line="180" w:lineRule="exact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paragraph" w:customStyle="1" w:styleId="16">
    <w:name w:val="报告正文"/>
    <w:basedOn w:val="1"/>
    <w:qFormat/>
    <w:uiPriority w:val="0"/>
    <w:pPr>
      <w:spacing w:line="360" w:lineRule="auto"/>
      <w:ind w:firstLine="480" w:firstLineChars="200"/>
    </w:pPr>
    <w:rPr>
      <w:sz w:val="24"/>
    </w:rPr>
  </w:style>
  <w:style w:type="character" w:customStyle="1" w:styleId="17">
    <w:name w:val="页眉 Char"/>
    <w:basedOn w:val="13"/>
    <w:link w:val="9"/>
    <w:qFormat/>
    <w:uiPriority w:val="0"/>
    <w:rPr>
      <w:kern w:val="2"/>
      <w:sz w:val="18"/>
      <w:szCs w:val="18"/>
    </w:rPr>
  </w:style>
  <w:style w:type="character" w:customStyle="1" w:styleId="18">
    <w:name w:val="批注框文本 Char"/>
    <w:basedOn w:val="13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997</Words>
  <Characters>5683</Characters>
  <Lines>47</Lines>
  <Paragraphs>13</Paragraphs>
  <TotalTime>84</TotalTime>
  <ScaleCrop>false</ScaleCrop>
  <LinksUpToDate>false</LinksUpToDate>
  <CharactersWithSpaces>6667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2020-09-03T15:14:00Z</dcterms:created>
  <dc:creator>WPS_1459789259</dc:creator>
  <cp:lastModifiedBy>hm</cp:lastModifiedBy>
  <dcterms:modified xsi:type="dcterms:W3CDTF">2020-09-17T12:04:25Z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